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EA" w:rsidRPr="00AE6953" w:rsidRDefault="004D50EA" w:rsidP="004D50EA">
      <w:pPr>
        <w:jc w:val="both"/>
        <w:rPr>
          <w:rFonts w:ascii="Times New Roman" w:eastAsia="Times New Roman" w:hAnsi="Times New Roman"/>
          <w:b/>
          <w:bCs/>
          <w:color w:val="302B29"/>
          <w:sz w:val="24"/>
          <w:szCs w:val="24"/>
          <w:lang w:eastAsia="lv-LV"/>
        </w:rPr>
      </w:pPr>
      <w:r w:rsidRPr="00AE6953">
        <w:rPr>
          <w:rFonts w:ascii="Times New Roman" w:eastAsia="Times New Roman" w:hAnsi="Times New Roman"/>
          <w:b/>
          <w:bCs/>
          <w:color w:val="302B29"/>
          <w:sz w:val="24"/>
          <w:szCs w:val="24"/>
          <w:lang w:eastAsia="lv-LV"/>
        </w:rPr>
        <w:t>Informācija par darba samaksu</w:t>
      </w:r>
    </w:p>
    <w:p w:rsidR="004D50EA" w:rsidRPr="00C9482B" w:rsidRDefault="004D50EA" w:rsidP="004D50EA">
      <w:pPr>
        <w:jc w:val="both"/>
        <w:rPr>
          <w:rFonts w:ascii="Times New Roman" w:eastAsia="Times New Roman" w:hAnsi="Times New Roman"/>
          <w:bCs/>
          <w:color w:val="302B29"/>
          <w:lang w:eastAsia="lv-LV"/>
        </w:rPr>
      </w:pPr>
      <w:r w:rsidRPr="00C9482B">
        <w:rPr>
          <w:rFonts w:ascii="Times New Roman" w:eastAsia="Times New Roman" w:hAnsi="Times New Roman"/>
          <w:bCs/>
          <w:color w:val="302B29"/>
          <w:lang w:eastAsia="lv-LV"/>
        </w:rPr>
        <w:t>VSIA “Latvijas Leļļu teātris” darba samaksas sistēmu veido balstoties uz LR Darba likumu, LR Kultūras ministrijas izdotajiem rīkojumiem par valdes locekļa atlīdzību, kā arī Teātra iekšējiem normatīvajiem aktiem.  Mēneša daba alga tiek apstiprināta personāla, amatu un algu sarakstā, ko valdes loceklis pārskata un apstiprina ne retāk, kā divas reizes gadā</w:t>
      </w:r>
      <w:r w:rsidR="00C9482B">
        <w:rPr>
          <w:rFonts w:ascii="Times New Roman" w:eastAsia="Times New Roman" w:hAnsi="Times New Roman"/>
          <w:bCs/>
          <w:color w:val="302B29"/>
          <w:lang w:eastAsia="lv-LV"/>
        </w:rPr>
        <w:t xml:space="preserve"> ievērojot s</w:t>
      </w:r>
      <w:r w:rsidR="00C9482B" w:rsidRPr="00C9482B">
        <w:rPr>
          <w:rFonts w:ascii="Times New Roman" w:eastAsia="Times New Roman" w:hAnsi="Times New Roman"/>
          <w:bCs/>
          <w:color w:val="302B29"/>
          <w:lang w:eastAsia="lv-LV"/>
        </w:rPr>
        <w:t>abiedrības darbības attīstību un budžeta iespējas</w:t>
      </w:r>
      <w:r w:rsidRPr="00C9482B">
        <w:rPr>
          <w:rFonts w:ascii="Times New Roman" w:eastAsia="Times New Roman" w:hAnsi="Times New Roman"/>
          <w:bCs/>
          <w:color w:val="302B29"/>
          <w:lang w:eastAsia="lv-LV"/>
        </w:rPr>
        <w:t xml:space="preserve">. </w:t>
      </w:r>
    </w:p>
    <w:p w:rsidR="00502399" w:rsidRPr="00C9482B" w:rsidRDefault="00486B12" w:rsidP="00486B12">
      <w:pPr>
        <w:jc w:val="center"/>
        <w:rPr>
          <w:rFonts w:ascii="Times New Roman" w:hAnsi="Times New Roman"/>
          <w:b/>
        </w:rPr>
      </w:pPr>
      <w:r w:rsidRPr="00C9482B">
        <w:rPr>
          <w:rFonts w:ascii="Times New Roman" w:hAnsi="Times New Roman"/>
          <w:b/>
        </w:rPr>
        <w:t>Darba alga sadalījumā pa amatu grupām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1248"/>
        <w:gridCol w:w="1370"/>
        <w:gridCol w:w="1515"/>
      </w:tblGrid>
      <w:tr w:rsidR="008E3067" w:rsidRPr="00C9482B" w:rsidTr="004D50EA">
        <w:tc>
          <w:tcPr>
            <w:tcW w:w="4351" w:type="dxa"/>
            <w:vMerge w:val="restart"/>
            <w:shd w:val="clear" w:color="auto" w:fill="auto"/>
          </w:tcPr>
          <w:p w:rsidR="002A1658" w:rsidRPr="00C9482B" w:rsidRDefault="002A1658" w:rsidP="00967208">
            <w:pPr>
              <w:spacing w:after="0" w:line="240" w:lineRule="auto"/>
              <w:jc w:val="center"/>
              <w:rPr>
                <w:rFonts w:ascii="Times New Roman" w:hAnsi="Times New Roman"/>
                <w:b/>
              </w:rPr>
            </w:pPr>
            <w:r w:rsidRPr="00C9482B">
              <w:rPr>
                <w:rFonts w:ascii="Times New Roman" w:hAnsi="Times New Roman"/>
                <w:b/>
              </w:rPr>
              <w:t>Amatu kategorija/grupa</w:t>
            </w:r>
          </w:p>
        </w:tc>
        <w:tc>
          <w:tcPr>
            <w:tcW w:w="1271" w:type="dxa"/>
            <w:vMerge w:val="restart"/>
            <w:shd w:val="clear" w:color="auto" w:fill="auto"/>
          </w:tcPr>
          <w:p w:rsidR="002A1658" w:rsidRPr="00C9482B" w:rsidRDefault="002A1658" w:rsidP="00967208">
            <w:pPr>
              <w:spacing w:after="0" w:line="240" w:lineRule="auto"/>
              <w:jc w:val="center"/>
              <w:rPr>
                <w:rFonts w:ascii="Times New Roman" w:hAnsi="Times New Roman"/>
                <w:b/>
              </w:rPr>
            </w:pPr>
            <w:r w:rsidRPr="00C9482B">
              <w:rPr>
                <w:rFonts w:ascii="Times New Roman" w:hAnsi="Times New Roman"/>
                <w:b/>
              </w:rPr>
              <w:t>Vienību skaits</w:t>
            </w:r>
          </w:p>
        </w:tc>
        <w:tc>
          <w:tcPr>
            <w:tcW w:w="2900" w:type="dxa"/>
            <w:gridSpan w:val="2"/>
            <w:shd w:val="clear" w:color="auto" w:fill="auto"/>
          </w:tcPr>
          <w:p w:rsidR="002A1658" w:rsidRPr="00C9482B" w:rsidRDefault="002A1658" w:rsidP="00967208">
            <w:pPr>
              <w:spacing w:after="0" w:line="240" w:lineRule="auto"/>
              <w:jc w:val="center"/>
              <w:rPr>
                <w:rFonts w:ascii="Times New Roman" w:hAnsi="Times New Roman"/>
                <w:b/>
              </w:rPr>
            </w:pPr>
            <w:r w:rsidRPr="00C9482B">
              <w:rPr>
                <w:rFonts w:ascii="Times New Roman" w:hAnsi="Times New Roman"/>
                <w:b/>
              </w:rPr>
              <w:t>Darba algas apmērs (euro)</w:t>
            </w:r>
          </w:p>
        </w:tc>
      </w:tr>
      <w:tr w:rsidR="008E3067" w:rsidRPr="00C9482B" w:rsidTr="004D50EA">
        <w:tc>
          <w:tcPr>
            <w:tcW w:w="4351" w:type="dxa"/>
            <w:vMerge/>
            <w:shd w:val="clear" w:color="auto" w:fill="auto"/>
          </w:tcPr>
          <w:p w:rsidR="002A1658" w:rsidRPr="00C9482B" w:rsidRDefault="002A1658" w:rsidP="00967208">
            <w:pPr>
              <w:spacing w:after="0" w:line="240" w:lineRule="auto"/>
              <w:jc w:val="center"/>
              <w:rPr>
                <w:rFonts w:ascii="Times New Roman" w:hAnsi="Times New Roman"/>
                <w:b/>
              </w:rPr>
            </w:pPr>
          </w:p>
        </w:tc>
        <w:tc>
          <w:tcPr>
            <w:tcW w:w="1271" w:type="dxa"/>
            <w:vMerge/>
            <w:shd w:val="clear" w:color="auto" w:fill="auto"/>
          </w:tcPr>
          <w:p w:rsidR="002A1658" w:rsidRPr="00C9482B" w:rsidRDefault="002A1658" w:rsidP="00967208">
            <w:pPr>
              <w:spacing w:after="0" w:line="240" w:lineRule="auto"/>
              <w:jc w:val="center"/>
              <w:rPr>
                <w:rFonts w:ascii="Times New Roman" w:hAnsi="Times New Roman"/>
                <w:b/>
              </w:rPr>
            </w:pPr>
          </w:p>
        </w:tc>
        <w:tc>
          <w:tcPr>
            <w:tcW w:w="1377" w:type="dxa"/>
            <w:shd w:val="clear" w:color="auto" w:fill="auto"/>
          </w:tcPr>
          <w:p w:rsidR="002A1658" w:rsidRPr="00C9482B" w:rsidRDefault="008E3067" w:rsidP="00967208">
            <w:pPr>
              <w:spacing w:after="0" w:line="240" w:lineRule="auto"/>
              <w:jc w:val="center"/>
              <w:rPr>
                <w:rFonts w:ascii="Times New Roman" w:hAnsi="Times New Roman"/>
                <w:b/>
              </w:rPr>
            </w:pPr>
            <w:r w:rsidRPr="00C9482B">
              <w:rPr>
                <w:rFonts w:ascii="Times New Roman" w:hAnsi="Times New Roman"/>
                <w:b/>
              </w:rPr>
              <w:t>Minimālais</w:t>
            </w:r>
          </w:p>
        </w:tc>
        <w:tc>
          <w:tcPr>
            <w:tcW w:w="1523" w:type="dxa"/>
            <w:shd w:val="clear" w:color="auto" w:fill="auto"/>
          </w:tcPr>
          <w:p w:rsidR="002A1658" w:rsidRPr="00C9482B" w:rsidRDefault="008E3067" w:rsidP="00967208">
            <w:pPr>
              <w:spacing w:after="0" w:line="240" w:lineRule="auto"/>
              <w:jc w:val="center"/>
              <w:rPr>
                <w:rFonts w:ascii="Times New Roman" w:hAnsi="Times New Roman"/>
                <w:b/>
              </w:rPr>
            </w:pPr>
            <w:r w:rsidRPr="00C9482B">
              <w:rPr>
                <w:rFonts w:ascii="Times New Roman" w:hAnsi="Times New Roman"/>
                <w:b/>
              </w:rPr>
              <w:t>Maksimālais</w:t>
            </w:r>
          </w:p>
        </w:tc>
      </w:tr>
      <w:tr w:rsidR="008E3067" w:rsidRPr="00C9482B" w:rsidTr="004D50EA">
        <w:tc>
          <w:tcPr>
            <w:tcW w:w="4351" w:type="dxa"/>
            <w:shd w:val="clear" w:color="auto" w:fill="auto"/>
          </w:tcPr>
          <w:p w:rsidR="00486B12" w:rsidRPr="00C9482B" w:rsidRDefault="001E75A8" w:rsidP="00967208">
            <w:pPr>
              <w:spacing w:after="0" w:line="240" w:lineRule="auto"/>
              <w:jc w:val="center"/>
              <w:rPr>
                <w:rFonts w:ascii="Times New Roman" w:hAnsi="Times New Roman"/>
              </w:rPr>
            </w:pPr>
            <w:r>
              <w:rPr>
                <w:rFonts w:ascii="Times New Roman" w:hAnsi="Times New Roman"/>
              </w:rPr>
              <w:t>Valdes loceklis</w:t>
            </w:r>
          </w:p>
        </w:tc>
        <w:tc>
          <w:tcPr>
            <w:tcW w:w="1271" w:type="dxa"/>
            <w:shd w:val="clear" w:color="auto" w:fill="auto"/>
          </w:tcPr>
          <w:p w:rsidR="00486B12" w:rsidRPr="00C9482B" w:rsidRDefault="001E75A8" w:rsidP="00967208">
            <w:pPr>
              <w:spacing w:after="0" w:line="240" w:lineRule="auto"/>
              <w:jc w:val="center"/>
              <w:rPr>
                <w:rFonts w:ascii="Times New Roman" w:hAnsi="Times New Roman"/>
              </w:rPr>
            </w:pPr>
            <w:r>
              <w:rPr>
                <w:rFonts w:ascii="Times New Roman" w:hAnsi="Times New Roman"/>
              </w:rPr>
              <w:t>1</w:t>
            </w:r>
          </w:p>
        </w:tc>
        <w:tc>
          <w:tcPr>
            <w:tcW w:w="1377" w:type="dxa"/>
            <w:shd w:val="clear" w:color="auto" w:fill="auto"/>
          </w:tcPr>
          <w:p w:rsidR="00486B12" w:rsidRPr="001E75A8" w:rsidRDefault="001E75A8" w:rsidP="001E75A8">
            <w:pPr>
              <w:spacing w:after="0" w:line="240" w:lineRule="auto"/>
              <w:jc w:val="center"/>
              <w:rPr>
                <w:rFonts w:ascii="Times New Roman" w:hAnsi="Times New Roman"/>
              </w:rPr>
            </w:pPr>
            <w:r w:rsidRPr="001E75A8">
              <w:rPr>
                <w:rFonts w:ascii="Times New Roman" w:hAnsi="Times New Roman"/>
              </w:rPr>
              <w:t>3190,00</w:t>
            </w:r>
          </w:p>
        </w:tc>
        <w:tc>
          <w:tcPr>
            <w:tcW w:w="1523" w:type="dxa"/>
            <w:shd w:val="clear" w:color="auto" w:fill="auto"/>
          </w:tcPr>
          <w:p w:rsidR="00486B12" w:rsidRPr="001E75A8" w:rsidRDefault="001E75A8" w:rsidP="001E75A8">
            <w:pPr>
              <w:spacing w:after="0" w:line="240" w:lineRule="auto"/>
              <w:jc w:val="center"/>
              <w:rPr>
                <w:rFonts w:ascii="Times New Roman" w:hAnsi="Times New Roman"/>
              </w:rPr>
            </w:pPr>
            <w:r w:rsidRPr="001E75A8">
              <w:rPr>
                <w:rFonts w:ascii="Times New Roman" w:hAnsi="Times New Roman"/>
              </w:rPr>
              <w:t>3190,00</w:t>
            </w:r>
          </w:p>
        </w:tc>
      </w:tr>
      <w:tr w:rsidR="001E75A8" w:rsidRPr="00C9482B" w:rsidTr="004D50EA">
        <w:tc>
          <w:tcPr>
            <w:tcW w:w="4351" w:type="dxa"/>
            <w:shd w:val="clear" w:color="auto" w:fill="auto"/>
          </w:tcPr>
          <w:p w:rsidR="001E75A8" w:rsidRPr="00C9482B" w:rsidRDefault="001E75A8" w:rsidP="00967208">
            <w:pPr>
              <w:spacing w:after="0" w:line="240" w:lineRule="auto"/>
              <w:jc w:val="center"/>
              <w:rPr>
                <w:rFonts w:ascii="Times New Roman" w:hAnsi="Times New Roman"/>
              </w:rPr>
            </w:pPr>
            <w:r w:rsidRPr="00C9482B">
              <w:rPr>
                <w:rFonts w:ascii="Times New Roman" w:hAnsi="Times New Roman"/>
              </w:rPr>
              <w:t>Vadība</w:t>
            </w:r>
          </w:p>
        </w:tc>
        <w:tc>
          <w:tcPr>
            <w:tcW w:w="1271" w:type="dxa"/>
            <w:shd w:val="clear" w:color="auto" w:fill="auto"/>
          </w:tcPr>
          <w:p w:rsidR="001E75A8" w:rsidRPr="00C9482B" w:rsidRDefault="001E75A8" w:rsidP="00967208">
            <w:pPr>
              <w:spacing w:after="0" w:line="240" w:lineRule="auto"/>
              <w:jc w:val="center"/>
              <w:rPr>
                <w:rFonts w:ascii="Times New Roman" w:hAnsi="Times New Roman"/>
              </w:rPr>
            </w:pPr>
            <w:r>
              <w:rPr>
                <w:rFonts w:ascii="Times New Roman" w:hAnsi="Times New Roman"/>
              </w:rPr>
              <w:t>7</w:t>
            </w:r>
          </w:p>
        </w:tc>
        <w:tc>
          <w:tcPr>
            <w:tcW w:w="1377" w:type="dxa"/>
            <w:shd w:val="clear" w:color="auto" w:fill="auto"/>
          </w:tcPr>
          <w:p w:rsidR="001E75A8" w:rsidRDefault="001E75A8" w:rsidP="00967208">
            <w:pPr>
              <w:spacing w:after="0" w:line="240" w:lineRule="auto"/>
              <w:jc w:val="center"/>
              <w:rPr>
                <w:rFonts w:ascii="Times New Roman" w:hAnsi="Times New Roman"/>
              </w:rPr>
            </w:pPr>
            <w:r>
              <w:rPr>
                <w:rFonts w:ascii="Times New Roman" w:hAnsi="Times New Roman"/>
              </w:rPr>
              <w:t>9</w:t>
            </w:r>
            <w:r w:rsidRPr="00C9482B">
              <w:rPr>
                <w:rFonts w:ascii="Times New Roman" w:hAnsi="Times New Roman"/>
              </w:rPr>
              <w:t>35.00</w:t>
            </w:r>
          </w:p>
        </w:tc>
        <w:tc>
          <w:tcPr>
            <w:tcW w:w="1523" w:type="dxa"/>
            <w:shd w:val="clear" w:color="auto" w:fill="auto"/>
          </w:tcPr>
          <w:p w:rsidR="001E75A8" w:rsidRPr="00C9482B" w:rsidRDefault="001E75A8" w:rsidP="00967208">
            <w:pPr>
              <w:spacing w:after="0" w:line="240" w:lineRule="auto"/>
              <w:jc w:val="center"/>
              <w:rPr>
                <w:rFonts w:ascii="Times New Roman" w:hAnsi="Times New Roman"/>
              </w:rPr>
            </w:pPr>
            <w:r>
              <w:rPr>
                <w:rFonts w:ascii="Times New Roman" w:hAnsi="Times New Roman"/>
              </w:rPr>
              <w:t>1700,00</w:t>
            </w:r>
            <w:bookmarkStart w:id="0" w:name="_GoBack"/>
            <w:bookmarkEnd w:id="0"/>
          </w:p>
        </w:tc>
      </w:tr>
      <w:tr w:rsidR="008E3067" w:rsidRPr="00C9482B" w:rsidTr="004D50EA">
        <w:tc>
          <w:tcPr>
            <w:tcW w:w="4351" w:type="dxa"/>
            <w:shd w:val="clear" w:color="auto" w:fill="auto"/>
          </w:tcPr>
          <w:p w:rsidR="00486B12" w:rsidRPr="00C9482B" w:rsidRDefault="00285236" w:rsidP="00967208">
            <w:pPr>
              <w:spacing w:after="0" w:line="240" w:lineRule="auto"/>
              <w:jc w:val="center"/>
              <w:rPr>
                <w:rFonts w:ascii="Times New Roman" w:hAnsi="Times New Roman"/>
              </w:rPr>
            </w:pPr>
            <w:r w:rsidRPr="00C9482B">
              <w:rPr>
                <w:rFonts w:ascii="Times New Roman" w:hAnsi="Times New Roman"/>
              </w:rPr>
              <w:t>Administrācija</w:t>
            </w:r>
          </w:p>
        </w:tc>
        <w:tc>
          <w:tcPr>
            <w:tcW w:w="1271" w:type="dxa"/>
            <w:shd w:val="clear" w:color="auto" w:fill="auto"/>
          </w:tcPr>
          <w:p w:rsidR="00486B12" w:rsidRPr="00C9482B" w:rsidRDefault="00CC7A1B" w:rsidP="00967208">
            <w:pPr>
              <w:spacing w:after="0" w:line="240" w:lineRule="auto"/>
              <w:jc w:val="center"/>
              <w:rPr>
                <w:rFonts w:ascii="Times New Roman" w:hAnsi="Times New Roman"/>
              </w:rPr>
            </w:pPr>
            <w:r>
              <w:rPr>
                <w:rFonts w:ascii="Times New Roman" w:hAnsi="Times New Roman"/>
              </w:rPr>
              <w:t>8</w:t>
            </w:r>
          </w:p>
        </w:tc>
        <w:tc>
          <w:tcPr>
            <w:tcW w:w="1377" w:type="dxa"/>
            <w:shd w:val="clear" w:color="auto" w:fill="auto"/>
          </w:tcPr>
          <w:p w:rsidR="00486B12" w:rsidRPr="00C9482B" w:rsidRDefault="00CC7A1B" w:rsidP="00967208">
            <w:pPr>
              <w:spacing w:after="0" w:line="240" w:lineRule="auto"/>
              <w:jc w:val="center"/>
              <w:rPr>
                <w:rFonts w:ascii="Times New Roman" w:hAnsi="Times New Roman"/>
              </w:rPr>
            </w:pPr>
            <w:r>
              <w:rPr>
                <w:rFonts w:ascii="Times New Roman" w:hAnsi="Times New Roman"/>
              </w:rPr>
              <w:t>1030.00</w:t>
            </w:r>
          </w:p>
        </w:tc>
        <w:tc>
          <w:tcPr>
            <w:tcW w:w="1523" w:type="dxa"/>
            <w:shd w:val="clear" w:color="auto" w:fill="auto"/>
          </w:tcPr>
          <w:p w:rsidR="00486B12" w:rsidRPr="00C9482B" w:rsidRDefault="008E3067" w:rsidP="00CC7A1B">
            <w:pPr>
              <w:spacing w:after="0" w:line="240" w:lineRule="auto"/>
              <w:jc w:val="center"/>
              <w:rPr>
                <w:rFonts w:ascii="Times New Roman" w:hAnsi="Times New Roman"/>
              </w:rPr>
            </w:pPr>
            <w:r w:rsidRPr="00C9482B">
              <w:rPr>
                <w:rFonts w:ascii="Times New Roman" w:hAnsi="Times New Roman"/>
              </w:rPr>
              <w:t>1</w:t>
            </w:r>
            <w:r w:rsidR="00CC7A1B">
              <w:rPr>
                <w:rFonts w:ascii="Times New Roman" w:hAnsi="Times New Roman"/>
              </w:rPr>
              <w:t>700</w:t>
            </w:r>
            <w:r w:rsidRPr="00C9482B">
              <w:rPr>
                <w:rFonts w:ascii="Times New Roman" w:hAnsi="Times New Roman"/>
              </w:rPr>
              <w:t>.00</w:t>
            </w:r>
          </w:p>
        </w:tc>
      </w:tr>
      <w:tr w:rsidR="008E3067" w:rsidRPr="00C9482B" w:rsidTr="004D50EA">
        <w:tc>
          <w:tcPr>
            <w:tcW w:w="4351" w:type="dxa"/>
            <w:shd w:val="clear" w:color="auto" w:fill="auto"/>
          </w:tcPr>
          <w:p w:rsidR="00486B12" w:rsidRPr="00C9482B" w:rsidRDefault="00285236" w:rsidP="00967208">
            <w:pPr>
              <w:spacing w:after="0" w:line="240" w:lineRule="auto"/>
              <w:jc w:val="center"/>
              <w:rPr>
                <w:rFonts w:ascii="Times New Roman" w:hAnsi="Times New Roman"/>
              </w:rPr>
            </w:pPr>
            <w:r w:rsidRPr="00C9482B">
              <w:rPr>
                <w:rFonts w:ascii="Times New Roman" w:hAnsi="Times New Roman"/>
              </w:rPr>
              <w:t>Mākslinieciskais personāls t.sk. aktieri</w:t>
            </w:r>
          </w:p>
        </w:tc>
        <w:tc>
          <w:tcPr>
            <w:tcW w:w="1271" w:type="dxa"/>
            <w:shd w:val="clear" w:color="auto" w:fill="auto"/>
          </w:tcPr>
          <w:p w:rsidR="00486B12" w:rsidRPr="00C9482B" w:rsidRDefault="00CC7A1B" w:rsidP="00967208">
            <w:pPr>
              <w:spacing w:after="0" w:line="240" w:lineRule="auto"/>
              <w:jc w:val="center"/>
              <w:rPr>
                <w:rFonts w:ascii="Times New Roman" w:hAnsi="Times New Roman"/>
              </w:rPr>
            </w:pPr>
            <w:r>
              <w:rPr>
                <w:rFonts w:ascii="Times New Roman" w:hAnsi="Times New Roman"/>
              </w:rPr>
              <w:t>28</w:t>
            </w:r>
          </w:p>
        </w:tc>
        <w:tc>
          <w:tcPr>
            <w:tcW w:w="1377" w:type="dxa"/>
            <w:shd w:val="clear" w:color="auto" w:fill="auto"/>
          </w:tcPr>
          <w:p w:rsidR="00486B12" w:rsidRPr="00C9482B" w:rsidRDefault="00CC7A1B" w:rsidP="00967208">
            <w:pPr>
              <w:spacing w:after="0" w:line="240" w:lineRule="auto"/>
              <w:jc w:val="center"/>
              <w:rPr>
                <w:rFonts w:ascii="Times New Roman" w:hAnsi="Times New Roman"/>
              </w:rPr>
            </w:pPr>
            <w:r>
              <w:rPr>
                <w:rFonts w:ascii="Times New Roman" w:hAnsi="Times New Roman"/>
              </w:rPr>
              <w:t>920.00</w:t>
            </w:r>
          </w:p>
        </w:tc>
        <w:tc>
          <w:tcPr>
            <w:tcW w:w="1523" w:type="dxa"/>
            <w:shd w:val="clear" w:color="auto" w:fill="auto"/>
          </w:tcPr>
          <w:p w:rsidR="00486B12" w:rsidRPr="00C9482B" w:rsidRDefault="00CC7A1B" w:rsidP="00967208">
            <w:pPr>
              <w:spacing w:after="0" w:line="240" w:lineRule="auto"/>
              <w:jc w:val="center"/>
              <w:rPr>
                <w:rFonts w:ascii="Times New Roman" w:hAnsi="Times New Roman"/>
              </w:rPr>
            </w:pPr>
            <w:r>
              <w:rPr>
                <w:rFonts w:ascii="Times New Roman" w:hAnsi="Times New Roman"/>
              </w:rPr>
              <w:t>1290.00</w:t>
            </w:r>
          </w:p>
        </w:tc>
      </w:tr>
      <w:tr w:rsidR="008E3067" w:rsidRPr="00C9482B" w:rsidTr="004D50EA">
        <w:tc>
          <w:tcPr>
            <w:tcW w:w="4351" w:type="dxa"/>
            <w:shd w:val="clear" w:color="auto" w:fill="auto"/>
          </w:tcPr>
          <w:p w:rsidR="00486B12" w:rsidRPr="00C9482B" w:rsidRDefault="00285236" w:rsidP="00967208">
            <w:pPr>
              <w:spacing w:after="0" w:line="240" w:lineRule="auto"/>
              <w:jc w:val="center"/>
              <w:rPr>
                <w:rFonts w:ascii="Times New Roman" w:hAnsi="Times New Roman"/>
              </w:rPr>
            </w:pPr>
            <w:r w:rsidRPr="00C9482B">
              <w:rPr>
                <w:rFonts w:ascii="Times New Roman" w:hAnsi="Times New Roman"/>
              </w:rPr>
              <w:t xml:space="preserve">Tehniskais personāls, </w:t>
            </w:r>
            <w:r w:rsidR="008E3067" w:rsidRPr="00C9482B">
              <w:rPr>
                <w:rFonts w:ascii="Times New Roman" w:hAnsi="Times New Roman"/>
              </w:rPr>
              <w:t xml:space="preserve">apkalpošana, </w:t>
            </w:r>
            <w:r w:rsidRPr="00C9482B">
              <w:rPr>
                <w:rFonts w:ascii="Times New Roman" w:hAnsi="Times New Roman"/>
              </w:rPr>
              <w:t>apsardze, uzkopšana</w:t>
            </w:r>
            <w:r w:rsidR="00C12120" w:rsidRPr="00C9482B">
              <w:rPr>
                <w:rFonts w:ascii="Times New Roman" w:hAnsi="Times New Roman"/>
              </w:rPr>
              <w:t>.</w:t>
            </w:r>
          </w:p>
        </w:tc>
        <w:tc>
          <w:tcPr>
            <w:tcW w:w="1271" w:type="dxa"/>
            <w:shd w:val="clear" w:color="auto" w:fill="auto"/>
          </w:tcPr>
          <w:p w:rsidR="00486B12" w:rsidRPr="00C9482B" w:rsidRDefault="00CC7A1B" w:rsidP="00967208">
            <w:pPr>
              <w:spacing w:after="0" w:line="240" w:lineRule="auto"/>
              <w:jc w:val="center"/>
              <w:rPr>
                <w:rFonts w:ascii="Times New Roman" w:hAnsi="Times New Roman"/>
              </w:rPr>
            </w:pPr>
            <w:r>
              <w:rPr>
                <w:rFonts w:ascii="Times New Roman" w:hAnsi="Times New Roman"/>
              </w:rPr>
              <w:t>40</w:t>
            </w:r>
          </w:p>
        </w:tc>
        <w:tc>
          <w:tcPr>
            <w:tcW w:w="1377" w:type="dxa"/>
            <w:shd w:val="clear" w:color="auto" w:fill="auto"/>
          </w:tcPr>
          <w:p w:rsidR="00486B12" w:rsidRPr="00C9482B" w:rsidRDefault="00CC7A1B" w:rsidP="00967208">
            <w:pPr>
              <w:spacing w:after="0" w:line="240" w:lineRule="auto"/>
              <w:jc w:val="center"/>
              <w:rPr>
                <w:rFonts w:ascii="Times New Roman" w:hAnsi="Times New Roman"/>
              </w:rPr>
            </w:pPr>
            <w:r>
              <w:rPr>
                <w:rFonts w:ascii="Times New Roman" w:hAnsi="Times New Roman"/>
              </w:rPr>
              <w:t>430.00</w:t>
            </w:r>
          </w:p>
        </w:tc>
        <w:tc>
          <w:tcPr>
            <w:tcW w:w="1523" w:type="dxa"/>
            <w:shd w:val="clear" w:color="auto" w:fill="auto"/>
          </w:tcPr>
          <w:p w:rsidR="00486B12" w:rsidRPr="00C9482B" w:rsidRDefault="00CC7A1B" w:rsidP="00967208">
            <w:pPr>
              <w:spacing w:after="0" w:line="240" w:lineRule="auto"/>
              <w:jc w:val="center"/>
              <w:rPr>
                <w:rFonts w:ascii="Times New Roman" w:hAnsi="Times New Roman"/>
              </w:rPr>
            </w:pPr>
            <w:r>
              <w:rPr>
                <w:rFonts w:ascii="Times New Roman" w:hAnsi="Times New Roman"/>
              </w:rPr>
              <w:t>1035.00</w:t>
            </w:r>
          </w:p>
        </w:tc>
      </w:tr>
    </w:tbl>
    <w:p w:rsidR="00486B12" w:rsidRPr="00C9482B" w:rsidRDefault="00486B12" w:rsidP="00486B12">
      <w:pPr>
        <w:jc w:val="center"/>
      </w:pPr>
    </w:p>
    <w:p w:rsidR="004D50EA" w:rsidRPr="00AE6953" w:rsidRDefault="004D50EA" w:rsidP="00C9482B">
      <w:pPr>
        <w:spacing w:after="0" w:line="240" w:lineRule="auto"/>
        <w:jc w:val="both"/>
        <w:rPr>
          <w:rFonts w:ascii="Times New Roman" w:hAnsi="Times New Roman"/>
          <w:b/>
          <w:sz w:val="24"/>
          <w:szCs w:val="24"/>
        </w:rPr>
      </w:pPr>
      <w:r w:rsidRPr="00AE6953">
        <w:rPr>
          <w:rFonts w:ascii="Times New Roman" w:hAnsi="Times New Roman"/>
          <w:b/>
          <w:sz w:val="24"/>
          <w:szCs w:val="24"/>
        </w:rPr>
        <w:t>Informācija par darba samaksas mainīgo daļu.</w:t>
      </w:r>
    </w:p>
    <w:p w:rsidR="004D50EA" w:rsidRPr="00C9482B" w:rsidRDefault="004D50EA" w:rsidP="00C9482B">
      <w:pPr>
        <w:spacing w:after="0" w:line="240" w:lineRule="auto"/>
        <w:jc w:val="both"/>
        <w:rPr>
          <w:rFonts w:ascii="Times New Roman" w:hAnsi="Times New Roman"/>
        </w:rPr>
      </w:pPr>
    </w:p>
    <w:p w:rsidR="004D50EA" w:rsidRPr="00C9482B" w:rsidRDefault="004D50EA" w:rsidP="005251A3">
      <w:pPr>
        <w:spacing w:after="0" w:line="240" w:lineRule="auto"/>
        <w:jc w:val="both"/>
        <w:rPr>
          <w:rFonts w:ascii="Times New Roman" w:hAnsi="Times New Roman"/>
        </w:rPr>
      </w:pPr>
      <w:r w:rsidRPr="00C9482B">
        <w:rPr>
          <w:rFonts w:ascii="Times New Roman" w:hAnsi="Times New Roman"/>
        </w:rPr>
        <w:t>Darba samaksas mainīgo daļu veido:</w:t>
      </w:r>
    </w:p>
    <w:p w:rsidR="004D50EA" w:rsidRPr="00C9482B" w:rsidRDefault="004D50EA" w:rsidP="005251A3">
      <w:pPr>
        <w:spacing w:after="0" w:line="240" w:lineRule="auto"/>
        <w:jc w:val="both"/>
        <w:rPr>
          <w:rFonts w:ascii="Times New Roman" w:hAnsi="Times New Roman"/>
        </w:rPr>
      </w:pPr>
    </w:p>
    <w:p w:rsidR="004D50EA" w:rsidRPr="00C9482B" w:rsidRDefault="004D50EA" w:rsidP="005251A3">
      <w:pPr>
        <w:spacing w:after="0" w:line="240" w:lineRule="auto"/>
        <w:jc w:val="both"/>
        <w:rPr>
          <w:rFonts w:ascii="Times New Roman" w:hAnsi="Times New Roman"/>
        </w:rPr>
      </w:pPr>
      <w:r w:rsidRPr="00C9482B">
        <w:rPr>
          <w:rFonts w:ascii="Times New Roman" w:hAnsi="Times New Roman"/>
        </w:rPr>
        <w:t>-</w:t>
      </w:r>
      <w:r w:rsidR="00C9482B" w:rsidRPr="00C9482B">
        <w:rPr>
          <w:rFonts w:ascii="Times New Roman" w:hAnsi="Times New Roman"/>
        </w:rPr>
        <w:t xml:space="preserve"> </w:t>
      </w:r>
      <w:r w:rsidRPr="00C9482B">
        <w:rPr>
          <w:rFonts w:ascii="Times New Roman" w:hAnsi="Times New Roman"/>
        </w:rPr>
        <w:t>piemaksa par darba intensitāti kārtējā mēnesī, ņemot vērā katra darbinieka nodarbinātību; piemaksas apmērs un piešķiršanas pamatojums noteikts Teātra iekšējos normatīvajos aktos;</w:t>
      </w:r>
    </w:p>
    <w:p w:rsidR="004D50EA" w:rsidRPr="00C9482B" w:rsidRDefault="004D50EA" w:rsidP="005251A3">
      <w:pPr>
        <w:spacing w:after="0" w:line="240" w:lineRule="auto"/>
        <w:jc w:val="both"/>
        <w:rPr>
          <w:rFonts w:ascii="Times New Roman" w:hAnsi="Times New Roman"/>
        </w:rPr>
      </w:pPr>
    </w:p>
    <w:p w:rsidR="004D50EA" w:rsidRPr="00C9482B" w:rsidRDefault="004D50EA" w:rsidP="005251A3">
      <w:pPr>
        <w:spacing w:after="0" w:line="240" w:lineRule="auto"/>
        <w:jc w:val="both"/>
        <w:rPr>
          <w:rFonts w:ascii="Times New Roman" w:hAnsi="Times New Roman"/>
        </w:rPr>
      </w:pPr>
      <w:r w:rsidRPr="00C9482B">
        <w:rPr>
          <w:rFonts w:ascii="Times New Roman" w:hAnsi="Times New Roman"/>
        </w:rPr>
        <w:t>-</w:t>
      </w:r>
      <w:r w:rsidR="00C9482B" w:rsidRPr="00C9482B">
        <w:rPr>
          <w:rFonts w:ascii="Times New Roman" w:hAnsi="Times New Roman"/>
        </w:rPr>
        <w:t xml:space="preserve"> </w:t>
      </w:r>
      <w:r w:rsidRPr="00C9482B">
        <w:rPr>
          <w:rFonts w:ascii="Times New Roman" w:hAnsi="Times New Roman"/>
        </w:rPr>
        <w:t>piemaksa par darbu nakts un virsstundās, kā arī par darbu brīvdienā un/vai svētku dienā; pamatojums un apmērs - Darba likuma normas;</w:t>
      </w:r>
    </w:p>
    <w:p w:rsidR="004D50EA" w:rsidRPr="00C9482B" w:rsidRDefault="004D50EA" w:rsidP="005251A3">
      <w:pPr>
        <w:spacing w:after="0" w:line="240" w:lineRule="auto"/>
        <w:jc w:val="both"/>
        <w:rPr>
          <w:rFonts w:ascii="Times New Roman" w:hAnsi="Times New Roman"/>
        </w:rPr>
      </w:pPr>
    </w:p>
    <w:p w:rsidR="004D50EA" w:rsidRPr="00C9482B" w:rsidRDefault="004D50EA" w:rsidP="005251A3">
      <w:pPr>
        <w:spacing w:after="0" w:line="240" w:lineRule="auto"/>
        <w:jc w:val="both"/>
        <w:rPr>
          <w:rFonts w:ascii="Times New Roman" w:hAnsi="Times New Roman"/>
        </w:rPr>
      </w:pPr>
      <w:r w:rsidRPr="00C9482B">
        <w:rPr>
          <w:rFonts w:ascii="Times New Roman" w:hAnsi="Times New Roman"/>
        </w:rPr>
        <w:t>-</w:t>
      </w:r>
      <w:r w:rsidR="00C9482B" w:rsidRPr="00C9482B">
        <w:rPr>
          <w:rFonts w:ascii="Times New Roman" w:hAnsi="Times New Roman"/>
        </w:rPr>
        <w:t xml:space="preserve"> </w:t>
      </w:r>
      <w:r w:rsidRPr="00C9482B">
        <w:rPr>
          <w:rFonts w:ascii="Times New Roman" w:hAnsi="Times New Roman"/>
        </w:rPr>
        <w:t>piemaksa par prombūtnē esošā darbinieka aizvietošanu - līdz 30% no attiecīgā darbinieka darba algas;</w:t>
      </w:r>
    </w:p>
    <w:p w:rsidR="004D50EA" w:rsidRPr="00C9482B" w:rsidRDefault="004D50EA" w:rsidP="005251A3">
      <w:pPr>
        <w:spacing w:after="0" w:line="240" w:lineRule="auto"/>
        <w:jc w:val="both"/>
        <w:rPr>
          <w:rFonts w:ascii="Times New Roman" w:hAnsi="Times New Roman"/>
        </w:rPr>
      </w:pPr>
    </w:p>
    <w:p w:rsidR="004D50EA" w:rsidRPr="00C9482B" w:rsidRDefault="004D50EA" w:rsidP="005251A3">
      <w:pPr>
        <w:spacing w:after="0" w:line="240" w:lineRule="auto"/>
        <w:jc w:val="both"/>
        <w:rPr>
          <w:rFonts w:ascii="Times New Roman" w:hAnsi="Times New Roman"/>
        </w:rPr>
      </w:pPr>
      <w:r w:rsidRPr="00C9482B">
        <w:rPr>
          <w:rFonts w:ascii="Times New Roman" w:hAnsi="Times New Roman"/>
        </w:rPr>
        <w:t>-</w:t>
      </w:r>
      <w:r w:rsidR="00C9482B" w:rsidRPr="00C9482B">
        <w:rPr>
          <w:rFonts w:ascii="Times New Roman" w:hAnsi="Times New Roman"/>
        </w:rPr>
        <w:t xml:space="preserve"> </w:t>
      </w:r>
      <w:r w:rsidRPr="00C9482B">
        <w:rPr>
          <w:rFonts w:ascii="Times New Roman" w:hAnsi="Times New Roman"/>
        </w:rPr>
        <w:t>prēmija, kā motivējošs, stimulējošs un darba rezultātus novērtējošs instruments; pamatojumu un apmēru izskata valdes loceklis izvērtējot katru gadījumu atsevišķi.</w:t>
      </w:r>
    </w:p>
    <w:p w:rsidR="004D50EA" w:rsidRPr="00C9482B" w:rsidRDefault="004D50EA" w:rsidP="005251A3">
      <w:pPr>
        <w:spacing w:after="0" w:line="240" w:lineRule="auto"/>
        <w:jc w:val="both"/>
        <w:rPr>
          <w:rFonts w:ascii="Times New Roman" w:hAnsi="Times New Roman"/>
        </w:rPr>
      </w:pPr>
      <w:r w:rsidRPr="00C9482B">
        <w:rPr>
          <w:rFonts w:ascii="Times New Roman" w:hAnsi="Times New Roman"/>
        </w:rPr>
        <w:t xml:space="preserve"> </w:t>
      </w:r>
    </w:p>
    <w:p w:rsidR="004D50EA" w:rsidRPr="00AE6953" w:rsidRDefault="004D50EA" w:rsidP="00C9482B">
      <w:pPr>
        <w:spacing w:after="0" w:line="240" w:lineRule="auto"/>
        <w:jc w:val="both"/>
        <w:rPr>
          <w:rFonts w:ascii="Times New Roman" w:hAnsi="Times New Roman"/>
          <w:b/>
          <w:sz w:val="24"/>
          <w:szCs w:val="24"/>
        </w:rPr>
      </w:pPr>
      <w:r w:rsidRPr="00AE6953">
        <w:rPr>
          <w:rFonts w:ascii="Times New Roman" w:hAnsi="Times New Roman"/>
          <w:b/>
          <w:sz w:val="24"/>
          <w:szCs w:val="24"/>
        </w:rPr>
        <w:t>Informācija par sociālajām garantijām.</w:t>
      </w:r>
    </w:p>
    <w:p w:rsidR="004D50EA" w:rsidRPr="00C9482B" w:rsidRDefault="004D50EA" w:rsidP="00C9482B">
      <w:pPr>
        <w:spacing w:after="0" w:line="240" w:lineRule="auto"/>
        <w:jc w:val="both"/>
        <w:rPr>
          <w:rFonts w:ascii="Times New Roman" w:hAnsi="Times New Roman"/>
        </w:rPr>
      </w:pPr>
    </w:p>
    <w:p w:rsidR="004D50EA" w:rsidRPr="00C9482B" w:rsidRDefault="004D50EA" w:rsidP="00C9482B">
      <w:pPr>
        <w:spacing w:after="0" w:line="240" w:lineRule="auto"/>
        <w:jc w:val="both"/>
        <w:rPr>
          <w:rFonts w:ascii="Times New Roman" w:hAnsi="Times New Roman"/>
        </w:rPr>
      </w:pPr>
      <w:r w:rsidRPr="00C9482B">
        <w:rPr>
          <w:rFonts w:ascii="Times New Roman" w:hAnsi="Times New Roman"/>
        </w:rPr>
        <w:t>1.</w:t>
      </w:r>
      <w:r w:rsidR="005251A3">
        <w:rPr>
          <w:rFonts w:ascii="Times New Roman" w:hAnsi="Times New Roman"/>
        </w:rPr>
        <w:t xml:space="preserve"> </w:t>
      </w:r>
      <w:r w:rsidRPr="00C9482B">
        <w:rPr>
          <w:rFonts w:ascii="Times New Roman" w:hAnsi="Times New Roman"/>
        </w:rPr>
        <w:t>Darba devējs izmaksā materiālo pabalstu darbinieka tuvinieka (vecāka, laulātā, bērna vai cita tuva ģimenes locekļa, kas bijis darbinieka apgādībā) nāves gadījumā. Pabalsta apmērs tiek noteikts teātra iekšējos normatīvajos aktos.</w:t>
      </w:r>
    </w:p>
    <w:p w:rsidR="004D50EA" w:rsidRPr="00C9482B" w:rsidRDefault="004D50EA" w:rsidP="00C9482B">
      <w:pPr>
        <w:spacing w:after="0" w:line="240" w:lineRule="auto"/>
        <w:jc w:val="both"/>
        <w:rPr>
          <w:rFonts w:ascii="Times New Roman" w:hAnsi="Times New Roman"/>
        </w:rPr>
      </w:pPr>
    </w:p>
    <w:p w:rsidR="004D50EA" w:rsidRDefault="005251A3" w:rsidP="00C9482B">
      <w:pPr>
        <w:spacing w:after="0" w:line="240" w:lineRule="auto"/>
        <w:jc w:val="both"/>
        <w:rPr>
          <w:rFonts w:ascii="Times New Roman" w:hAnsi="Times New Roman"/>
        </w:rPr>
      </w:pPr>
      <w:r>
        <w:rPr>
          <w:rFonts w:ascii="Times New Roman" w:hAnsi="Times New Roman"/>
        </w:rPr>
        <w:t xml:space="preserve">2. darba devējs </w:t>
      </w:r>
      <w:r w:rsidRPr="005251A3">
        <w:rPr>
          <w:rFonts w:ascii="Times New Roman" w:hAnsi="Times New Roman"/>
        </w:rPr>
        <w:t>nodrošina darbinieku kvalifikācijas pilnveidi, apmaksājot nepieciešamos kursus un seminā</w:t>
      </w:r>
      <w:r>
        <w:rPr>
          <w:rFonts w:ascii="Times New Roman" w:hAnsi="Times New Roman"/>
        </w:rPr>
        <w:t>rus</w:t>
      </w:r>
      <w:r w:rsidRPr="005251A3">
        <w:rPr>
          <w:rFonts w:ascii="Times New Roman" w:hAnsi="Times New Roman"/>
        </w:rPr>
        <w:t>.</w:t>
      </w:r>
    </w:p>
    <w:p w:rsidR="005251A3" w:rsidRPr="00C9482B" w:rsidRDefault="005251A3" w:rsidP="00C9482B">
      <w:pPr>
        <w:spacing w:after="0" w:line="240" w:lineRule="auto"/>
        <w:jc w:val="both"/>
        <w:rPr>
          <w:rFonts w:ascii="Times New Roman" w:hAnsi="Times New Roman"/>
        </w:rPr>
      </w:pPr>
    </w:p>
    <w:p w:rsidR="004D50EA" w:rsidRPr="00C9482B" w:rsidRDefault="005251A3" w:rsidP="00C9482B">
      <w:pPr>
        <w:spacing w:after="0" w:line="240" w:lineRule="auto"/>
        <w:jc w:val="both"/>
        <w:rPr>
          <w:rFonts w:ascii="Times New Roman" w:hAnsi="Times New Roman"/>
        </w:rPr>
      </w:pPr>
      <w:r>
        <w:rPr>
          <w:rFonts w:ascii="Times New Roman" w:hAnsi="Times New Roman"/>
        </w:rPr>
        <w:t xml:space="preserve">3. </w:t>
      </w:r>
      <w:r w:rsidRPr="005251A3">
        <w:rPr>
          <w:rFonts w:ascii="Times New Roman" w:hAnsi="Times New Roman"/>
        </w:rPr>
        <w:t xml:space="preserve">Budžeta iespēju robežās </w:t>
      </w:r>
      <w:r>
        <w:rPr>
          <w:rFonts w:ascii="Times New Roman" w:hAnsi="Times New Roman"/>
        </w:rPr>
        <w:t>Darba devējs</w:t>
      </w:r>
      <w:r w:rsidRPr="005251A3">
        <w:rPr>
          <w:rFonts w:ascii="Times New Roman" w:hAnsi="Times New Roman"/>
        </w:rPr>
        <w:t xml:space="preserve"> veic darbinieku veselības apdrošināšanu un apdrošināšanu nelaimes gadījumiem.</w:t>
      </w:r>
      <w:r w:rsidRPr="00C9482B">
        <w:rPr>
          <w:rFonts w:ascii="Times New Roman" w:hAnsi="Times New Roman"/>
        </w:rPr>
        <w:t xml:space="preserve"> </w:t>
      </w:r>
    </w:p>
    <w:sectPr w:rsidR="004D50EA" w:rsidRPr="00C948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F4B0B"/>
    <w:multiLevelType w:val="multilevel"/>
    <w:tmpl w:val="5A58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2"/>
    <w:rsid w:val="001E75A8"/>
    <w:rsid w:val="00285236"/>
    <w:rsid w:val="002A1658"/>
    <w:rsid w:val="00486B12"/>
    <w:rsid w:val="004D50EA"/>
    <w:rsid w:val="00502399"/>
    <w:rsid w:val="005251A3"/>
    <w:rsid w:val="005D2C9A"/>
    <w:rsid w:val="00701E34"/>
    <w:rsid w:val="008E3067"/>
    <w:rsid w:val="00967208"/>
    <w:rsid w:val="00AE6953"/>
    <w:rsid w:val="00C12120"/>
    <w:rsid w:val="00C279A7"/>
    <w:rsid w:val="00C9482B"/>
    <w:rsid w:val="00CC7A1B"/>
    <w:rsid w:val="00EE5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E5C78-9982-49A3-9575-F47BDFA5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4623">
      <w:bodyDiv w:val="1"/>
      <w:marLeft w:val="0"/>
      <w:marRight w:val="0"/>
      <w:marTop w:val="0"/>
      <w:marBottom w:val="0"/>
      <w:divBdr>
        <w:top w:val="none" w:sz="0" w:space="0" w:color="auto"/>
        <w:left w:val="none" w:sz="0" w:space="0" w:color="auto"/>
        <w:bottom w:val="none" w:sz="0" w:space="0" w:color="auto"/>
        <w:right w:val="none" w:sz="0" w:space="0" w:color="auto"/>
      </w:divBdr>
    </w:div>
    <w:div w:id="610088828">
      <w:bodyDiv w:val="1"/>
      <w:marLeft w:val="0"/>
      <w:marRight w:val="0"/>
      <w:marTop w:val="0"/>
      <w:marBottom w:val="0"/>
      <w:divBdr>
        <w:top w:val="none" w:sz="0" w:space="0" w:color="auto"/>
        <w:left w:val="none" w:sz="0" w:space="0" w:color="auto"/>
        <w:bottom w:val="none" w:sz="0" w:space="0" w:color="auto"/>
        <w:right w:val="none" w:sz="0" w:space="0" w:color="auto"/>
      </w:divBdr>
    </w:div>
    <w:div w:id="1555697545">
      <w:bodyDiv w:val="1"/>
      <w:marLeft w:val="0"/>
      <w:marRight w:val="0"/>
      <w:marTop w:val="0"/>
      <w:marBottom w:val="0"/>
      <w:divBdr>
        <w:top w:val="none" w:sz="0" w:space="0" w:color="auto"/>
        <w:left w:val="none" w:sz="0" w:space="0" w:color="auto"/>
        <w:bottom w:val="none" w:sz="0" w:space="0" w:color="auto"/>
        <w:right w:val="none" w:sz="0" w:space="0" w:color="auto"/>
      </w:divBdr>
    </w:div>
    <w:div w:id="19174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5CAC-1F42-46EA-ACB8-BEB8FF42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Aivars</cp:lastModifiedBy>
  <cp:revision>2</cp:revision>
  <cp:lastPrinted>2016-04-04T11:35:00Z</cp:lastPrinted>
  <dcterms:created xsi:type="dcterms:W3CDTF">2020-04-03T15:27:00Z</dcterms:created>
  <dcterms:modified xsi:type="dcterms:W3CDTF">2020-04-03T15:27:00Z</dcterms:modified>
</cp:coreProperties>
</file>