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6ABB" w14:textId="77777777" w:rsidR="000C6369" w:rsidRPr="00BB1B01" w:rsidRDefault="000C6369" w:rsidP="000C6369">
      <w:pPr>
        <w:jc w:val="right"/>
        <w:rPr>
          <w:bCs/>
          <w:szCs w:val="22"/>
        </w:rPr>
      </w:pPr>
      <w:r>
        <w:rPr>
          <w:szCs w:val="22"/>
        </w:rPr>
        <w:t>1.p</w:t>
      </w:r>
      <w:r w:rsidRPr="008517D3">
        <w:rPr>
          <w:szCs w:val="22"/>
        </w:rPr>
        <w:t xml:space="preserve">ielikums </w:t>
      </w:r>
    </w:p>
    <w:p w14:paraId="55C352F0" w14:textId="77777777" w:rsidR="000C6369" w:rsidRPr="00940843" w:rsidRDefault="000C6369" w:rsidP="000C6369">
      <w:pPr>
        <w:jc w:val="right"/>
        <w:rPr>
          <w:szCs w:val="22"/>
        </w:rPr>
      </w:pPr>
      <w:r>
        <w:rPr>
          <w:szCs w:val="22"/>
        </w:rPr>
        <w:t>l</w:t>
      </w:r>
      <w:r w:rsidRPr="00940843">
        <w:rPr>
          <w:szCs w:val="22"/>
        </w:rPr>
        <w:t>īdzdarbības līgum</w:t>
      </w:r>
      <w:r>
        <w:rPr>
          <w:szCs w:val="22"/>
        </w:rPr>
        <w:t>am</w:t>
      </w:r>
      <w:r w:rsidRPr="00940843">
        <w:rPr>
          <w:szCs w:val="22"/>
        </w:rPr>
        <w:t xml:space="preserve"> </w:t>
      </w:r>
    </w:p>
    <w:p w14:paraId="41519435" w14:textId="77777777" w:rsidR="000C6369" w:rsidRDefault="000C6369" w:rsidP="000C6369">
      <w:pPr>
        <w:jc w:val="right"/>
        <w:rPr>
          <w:szCs w:val="22"/>
        </w:rPr>
      </w:pPr>
      <w:r w:rsidRPr="002E5149">
        <w:rPr>
          <w:color w:val="000000" w:themeColor="text1"/>
          <w:szCs w:val="22"/>
        </w:rPr>
        <w:t>„</w:t>
      </w:r>
      <w:r>
        <w:rPr>
          <w:szCs w:val="22"/>
        </w:rPr>
        <w:t>P</w:t>
      </w:r>
      <w:r w:rsidRPr="00940843">
        <w:rPr>
          <w:szCs w:val="22"/>
        </w:rPr>
        <w:t xml:space="preserve">ar atsevišķu valsts pārvaldes uzdevumu </w:t>
      </w:r>
    </w:p>
    <w:p w14:paraId="71AF98FB" w14:textId="77777777" w:rsidR="000C6369" w:rsidRPr="008517D3" w:rsidRDefault="000C6369" w:rsidP="000C6369">
      <w:pPr>
        <w:jc w:val="right"/>
        <w:rPr>
          <w:szCs w:val="22"/>
        </w:rPr>
      </w:pPr>
      <w:r>
        <w:rPr>
          <w:szCs w:val="22"/>
        </w:rPr>
        <w:t>deleģēšanu kultūras jomā”</w:t>
      </w:r>
    </w:p>
    <w:p w14:paraId="788CCC51" w14:textId="77777777" w:rsidR="000C6369" w:rsidRDefault="000C6369" w:rsidP="000C6369">
      <w:pPr>
        <w:outlineLvl w:val="0"/>
        <w:rPr>
          <w:b/>
        </w:rPr>
      </w:pPr>
    </w:p>
    <w:p w14:paraId="4C87386F" w14:textId="77777777" w:rsidR="000C6369" w:rsidRPr="00DC0E33" w:rsidRDefault="000C6369" w:rsidP="000C6369">
      <w:pPr>
        <w:jc w:val="center"/>
        <w:outlineLvl w:val="0"/>
        <w:rPr>
          <w:b/>
        </w:rPr>
      </w:pPr>
      <w:r>
        <w:rPr>
          <w:b/>
        </w:rPr>
        <w:t>ATSKAITE</w:t>
      </w:r>
    </w:p>
    <w:p w14:paraId="7A8CE1A6" w14:textId="2700B532" w:rsidR="000C6369" w:rsidRDefault="000C6369" w:rsidP="000C6369">
      <w:pPr>
        <w:jc w:val="center"/>
        <w:outlineLvl w:val="0"/>
        <w:rPr>
          <w:b/>
        </w:rPr>
      </w:pPr>
      <w:r>
        <w:rPr>
          <w:b/>
        </w:rPr>
        <w:t>p</w:t>
      </w:r>
      <w:r w:rsidRPr="00DC0E33">
        <w:rPr>
          <w:b/>
        </w:rPr>
        <w:t xml:space="preserve">ar </w:t>
      </w:r>
      <w:r w:rsidR="00445CF6" w:rsidRPr="00DC0E33">
        <w:rPr>
          <w:b/>
        </w:rPr>
        <w:t>20</w:t>
      </w:r>
      <w:r w:rsidR="00445CF6">
        <w:rPr>
          <w:b/>
        </w:rPr>
        <w:t>2</w:t>
      </w:r>
      <w:r w:rsidR="00FB378D">
        <w:rPr>
          <w:b/>
        </w:rPr>
        <w:t>5</w:t>
      </w:r>
      <w:r w:rsidR="00445CF6" w:rsidRPr="00DC0E33">
        <w:rPr>
          <w:b/>
        </w:rPr>
        <w:t>. gada</w:t>
      </w:r>
      <w:r>
        <w:rPr>
          <w:b/>
        </w:rPr>
        <w:t xml:space="preserve"> </w:t>
      </w:r>
      <w:r w:rsidR="0092327D">
        <w:rPr>
          <w:b/>
        </w:rPr>
        <w:t>12</w:t>
      </w:r>
      <w:r>
        <w:rPr>
          <w:b/>
        </w:rPr>
        <w:t xml:space="preserve"> mēnešos </w:t>
      </w:r>
      <w:r w:rsidRPr="00DC0E33">
        <w:rPr>
          <w:b/>
        </w:rPr>
        <w:t>sasniegtajiem rezultatīvajiem rādītājiem</w:t>
      </w:r>
      <w:r>
        <w:rPr>
          <w:b/>
        </w:rPr>
        <w:t xml:space="preserve"> un</w:t>
      </w:r>
    </w:p>
    <w:p w14:paraId="2DE29852" w14:textId="629F8E1A" w:rsidR="000C6369" w:rsidRDefault="00445CF6" w:rsidP="00FB378D">
      <w:pPr>
        <w:jc w:val="center"/>
        <w:outlineLvl w:val="0"/>
        <w:rPr>
          <w:b/>
        </w:rPr>
      </w:pPr>
      <w:r>
        <w:rPr>
          <w:b/>
        </w:rPr>
        <w:t>202</w:t>
      </w:r>
      <w:r w:rsidR="00FB378D">
        <w:rPr>
          <w:b/>
        </w:rPr>
        <w:t>5</w:t>
      </w:r>
      <w:r>
        <w:rPr>
          <w:b/>
        </w:rPr>
        <w:t>. gadā</w:t>
      </w:r>
      <w:r w:rsidR="000C6369">
        <w:rPr>
          <w:b/>
        </w:rPr>
        <w:t xml:space="preserve"> sasniedzamo </w:t>
      </w:r>
      <w:r>
        <w:rPr>
          <w:b/>
        </w:rPr>
        <w:t>1</w:t>
      </w:r>
      <w:r w:rsidR="00F91FFF">
        <w:rPr>
          <w:b/>
        </w:rPr>
        <w:t>7</w:t>
      </w:r>
      <w:r>
        <w:rPr>
          <w:b/>
        </w:rPr>
        <w:t>. janvārī</w:t>
      </w:r>
      <w:r w:rsidR="000C6369">
        <w:rPr>
          <w:b/>
        </w:rPr>
        <w:t xml:space="preserve"> noslēgto finansēšanas līgumu </w:t>
      </w:r>
    </w:p>
    <w:p w14:paraId="68FA54A8" w14:textId="331069B4" w:rsidR="000C6369" w:rsidRDefault="000C6369" w:rsidP="000C6369">
      <w:pPr>
        <w:jc w:val="center"/>
        <w:rPr>
          <w:b/>
        </w:rPr>
      </w:pPr>
      <w:r w:rsidRPr="005057EC">
        <w:rPr>
          <w:b/>
        </w:rPr>
        <w:t>Nr.</w:t>
      </w:r>
      <w:r w:rsidR="00445CF6">
        <w:rPr>
          <w:b/>
        </w:rPr>
        <w:t>2.5-11-6</w:t>
      </w:r>
    </w:p>
    <w:p w14:paraId="668EAD2F" w14:textId="77777777" w:rsidR="000C6369" w:rsidRPr="00DC0E33" w:rsidRDefault="000C6369" w:rsidP="000C6369">
      <w:pPr>
        <w:outlineLvl w:val="0"/>
        <w:rPr>
          <w:b/>
        </w:rPr>
      </w:pPr>
    </w:p>
    <w:p w14:paraId="0A96E375" w14:textId="0429B055" w:rsidR="000C6369" w:rsidRPr="00C843F1" w:rsidRDefault="000C6369" w:rsidP="000C6369">
      <w:pPr>
        <w:ind w:firstLine="720"/>
      </w:pPr>
      <w:r w:rsidRPr="00C843F1">
        <w:t>Valsts sabiedrība ar ierobežotu atbildību „</w:t>
      </w:r>
      <w:bookmarkStart w:id="0" w:name="_Hlk219466740"/>
      <w:r>
        <w:t>Latvijas Leļļu teātris</w:t>
      </w:r>
      <w:bookmarkEnd w:id="0"/>
      <w:r w:rsidRPr="00C843F1">
        <w:t>”</w:t>
      </w:r>
      <w:r>
        <w:t xml:space="preserve">, pamatojoties uz </w:t>
      </w:r>
      <w:r w:rsidR="00445CF6">
        <w:t>202</w:t>
      </w:r>
      <w:r w:rsidR="00FB378D">
        <w:t>4</w:t>
      </w:r>
      <w:r w:rsidR="00445CF6" w:rsidRPr="00C843F1">
        <w:t>. gada</w:t>
      </w:r>
      <w:r w:rsidR="00445CF6">
        <w:t xml:space="preserve"> </w:t>
      </w:r>
      <w:r w:rsidR="00F91FFF">
        <w:t>3</w:t>
      </w:r>
      <w:r w:rsidR="00445CF6" w:rsidRPr="00C843F1">
        <w:t>.</w:t>
      </w:r>
      <w:r w:rsidR="00445CF6">
        <w:t xml:space="preserve"> janvārī</w:t>
      </w:r>
      <w:r>
        <w:t xml:space="preserve"> </w:t>
      </w:r>
      <w:r w:rsidRPr="00C843F1">
        <w:t>noslēgtā līdzdarbības līguma Nr.</w:t>
      </w:r>
      <w:r>
        <w:t>2.5.-8-</w:t>
      </w:r>
      <w:r w:rsidR="00F91FFF">
        <w:t>8</w:t>
      </w:r>
      <w:r w:rsidRPr="00C843F1">
        <w:t xml:space="preserve"> </w:t>
      </w:r>
      <w:r>
        <w:t>„</w:t>
      </w:r>
      <w:r w:rsidRPr="00141C3E">
        <w:rPr>
          <w:color w:val="000000" w:themeColor="text1"/>
        </w:rPr>
        <w:t>Par atsevišķu valsts pārvaldes uzdevumu deleģēšanu</w:t>
      </w:r>
      <w:r w:rsidRPr="00141C3E">
        <w:t xml:space="preserve"> kultūras </w:t>
      </w:r>
      <w:r>
        <w:t>jomā” 4.2.1</w:t>
      </w:r>
      <w:r w:rsidRPr="00C843F1">
        <w:t>.punktu</w:t>
      </w:r>
      <w:r>
        <w:t xml:space="preserve">, </w:t>
      </w:r>
      <w:r w:rsidRPr="00141C3E">
        <w:t xml:space="preserve">iesniedz pārskatu par </w:t>
      </w:r>
      <w:r w:rsidR="00B46F10">
        <w:t>202</w:t>
      </w:r>
      <w:r w:rsidR="00FB378D">
        <w:t>5</w:t>
      </w:r>
      <w:r w:rsidR="00B46F10">
        <w:t>.</w:t>
      </w:r>
      <w:r w:rsidR="00B46F10" w:rsidRPr="00141C3E">
        <w:t xml:space="preserve"> gada</w:t>
      </w:r>
      <w:r>
        <w:t xml:space="preserve"> </w:t>
      </w:r>
      <w:r w:rsidR="0092327D">
        <w:t>12</w:t>
      </w:r>
      <w:r>
        <w:t xml:space="preserve"> mēnešos</w:t>
      </w:r>
      <w:r w:rsidRPr="00141C3E">
        <w:t xml:space="preserve"> Pārvaldes uzdevumu izpildes ietvaros sasniegtajiem rezultatīvajiem rādītājiem</w:t>
      </w:r>
      <w:r>
        <w:t xml:space="preserve"> un provizorisko </w:t>
      </w:r>
      <w:r w:rsidR="00B46F10">
        <w:t>202</w:t>
      </w:r>
      <w:r w:rsidR="00FB378D">
        <w:t>5</w:t>
      </w:r>
      <w:r w:rsidR="00B46F10">
        <w:t>.</w:t>
      </w:r>
      <w:r w:rsidR="00B46F10" w:rsidRPr="00141C3E">
        <w:t xml:space="preserve"> gadā</w:t>
      </w:r>
      <w:r>
        <w:t xml:space="preserve"> sasniedzamo rezultatīvo rādītāju izpildi</w:t>
      </w:r>
      <w:r w:rsidRPr="00141C3E">
        <w:t xml:space="preserve"> saskaņā ar</w:t>
      </w:r>
      <w:r w:rsidRPr="00141C3E">
        <w:rPr>
          <w:b/>
        </w:rPr>
        <w:t xml:space="preserve"> </w:t>
      </w:r>
      <w:r w:rsidRPr="00C843F1">
        <w:t>20</w:t>
      </w:r>
      <w:r w:rsidR="00F91FFF">
        <w:t>2</w:t>
      </w:r>
      <w:r w:rsidR="00FB378D">
        <w:t>5</w:t>
      </w:r>
      <w:r w:rsidRPr="00C843F1">
        <w:t>.gada</w:t>
      </w:r>
      <w:r>
        <w:t xml:space="preserve"> </w:t>
      </w:r>
      <w:r w:rsidR="00FB378D">
        <w:t>20</w:t>
      </w:r>
      <w:r w:rsidRPr="00C843F1">
        <w:t>.</w:t>
      </w:r>
      <w:r w:rsidR="00445CF6">
        <w:t>janvārī</w:t>
      </w:r>
      <w:r w:rsidRPr="00C843F1">
        <w:t xml:space="preserve"> noslēgto finansēšanas līgumu</w:t>
      </w:r>
      <w:r>
        <w:t xml:space="preserve"> Nr.</w:t>
      </w:r>
      <w:r w:rsidR="00445CF6">
        <w:t>2.5-11-6</w:t>
      </w:r>
      <w:r>
        <w:t>:</w:t>
      </w:r>
    </w:p>
    <w:p w14:paraId="59A0AAE3" w14:textId="77777777" w:rsidR="000C6369" w:rsidRDefault="000C6369" w:rsidP="000C6369">
      <w:pPr>
        <w:ind w:right="-483"/>
      </w:pPr>
    </w:p>
    <w:p w14:paraId="03C8A6D4" w14:textId="09944B17" w:rsidR="000C6369" w:rsidRDefault="000C6369" w:rsidP="000C6369">
      <w:r>
        <w:t xml:space="preserve"> </w:t>
      </w:r>
      <w:r w:rsidR="009C5257">
        <w:t>2.1.</w:t>
      </w:r>
      <w:r w:rsidRPr="00CA5C04">
        <w:t>. Repert</w:t>
      </w:r>
      <w:r w:rsidRPr="006B7C36">
        <w:t>uāra tematiskā aptvēruma plašums</w:t>
      </w:r>
      <w:r>
        <w:t xml:space="preserve">, </w:t>
      </w:r>
      <w:r w:rsidRPr="006B7C36">
        <w:t>daudzveidība</w:t>
      </w:r>
      <w:r>
        <w:t xml:space="preserve"> un jaunrade</w:t>
      </w:r>
      <w:r w:rsidRPr="006B7C36">
        <w:t>:</w:t>
      </w:r>
    </w:p>
    <w:p w14:paraId="5194FA8F" w14:textId="77777777" w:rsidR="00F91FFF" w:rsidRDefault="00F91FFF" w:rsidP="00F91FFF"/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267"/>
        <w:gridCol w:w="2928"/>
        <w:gridCol w:w="2976"/>
      </w:tblGrid>
      <w:tr w:rsidR="0081299F" w:rsidRPr="00CA5C04" w14:paraId="65C816D4" w14:textId="77777777" w:rsidTr="00FB6172">
        <w:trPr>
          <w:trHeight w:val="470"/>
        </w:trPr>
        <w:tc>
          <w:tcPr>
            <w:tcW w:w="470" w:type="pct"/>
            <w:vAlign w:val="center"/>
          </w:tcPr>
          <w:p w14:paraId="5B5D2E18" w14:textId="77777777" w:rsidR="0081299F" w:rsidRDefault="0081299F" w:rsidP="00996C86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1257" w:type="pct"/>
            <w:vAlign w:val="center"/>
          </w:tcPr>
          <w:p w14:paraId="20BE2902" w14:textId="77777777" w:rsidR="0081299F" w:rsidRDefault="0081299F" w:rsidP="00996C86">
            <w:pPr>
              <w:jc w:val="center"/>
            </w:pPr>
            <w:r w:rsidRPr="00CA5C04">
              <w:rPr>
                <w:b/>
              </w:rPr>
              <w:t>Rezultatīvais rādītājs</w:t>
            </w:r>
          </w:p>
        </w:tc>
        <w:tc>
          <w:tcPr>
            <w:tcW w:w="1623" w:type="pct"/>
            <w:vAlign w:val="center"/>
          </w:tcPr>
          <w:p w14:paraId="3A3806D9" w14:textId="77777777" w:rsidR="0081299F" w:rsidRDefault="0081299F" w:rsidP="00996C86">
            <w:pPr>
              <w:jc w:val="center"/>
            </w:pPr>
            <w:r w:rsidRPr="00CA5C04">
              <w:rPr>
                <w:b/>
              </w:rPr>
              <w:t>Plāns</w:t>
            </w:r>
          </w:p>
        </w:tc>
        <w:tc>
          <w:tcPr>
            <w:tcW w:w="1651" w:type="pct"/>
            <w:vAlign w:val="center"/>
          </w:tcPr>
          <w:p w14:paraId="63864031" w14:textId="77777777" w:rsidR="0081299F" w:rsidRDefault="0081299F" w:rsidP="00996C86">
            <w:pPr>
              <w:jc w:val="center"/>
              <w:rPr>
                <w:b/>
              </w:rPr>
            </w:pPr>
            <w:r w:rsidRPr="00CA5C04">
              <w:rPr>
                <w:b/>
              </w:rPr>
              <w:t>Izpilde</w:t>
            </w:r>
          </w:p>
          <w:p w14:paraId="470A00A8" w14:textId="3059759D" w:rsidR="0081299F" w:rsidRPr="00CA5C04" w:rsidRDefault="0081299F" w:rsidP="00996C86">
            <w:pPr>
              <w:jc w:val="center"/>
              <w:rPr>
                <w:b/>
              </w:rPr>
            </w:pPr>
            <w:r>
              <w:rPr>
                <w:b/>
              </w:rPr>
              <w:t>12 mēnešos</w:t>
            </w:r>
          </w:p>
        </w:tc>
      </w:tr>
      <w:tr w:rsidR="0081299F" w:rsidRPr="00CA5C04" w14:paraId="08026F53" w14:textId="77777777" w:rsidTr="00FB6172">
        <w:trPr>
          <w:trHeight w:val="2914"/>
        </w:trPr>
        <w:tc>
          <w:tcPr>
            <w:tcW w:w="470" w:type="pct"/>
          </w:tcPr>
          <w:p w14:paraId="4820AF23" w14:textId="63F216A9" w:rsidR="0081299F" w:rsidRDefault="0081299F" w:rsidP="00996C86">
            <w:pPr>
              <w:jc w:val="center"/>
            </w:pPr>
            <w:r>
              <w:t>2.1</w:t>
            </w:r>
            <w:r w:rsidRPr="00CA5C04">
              <w:t>.</w:t>
            </w:r>
            <w:r>
              <w:t>1.</w:t>
            </w:r>
          </w:p>
        </w:tc>
        <w:tc>
          <w:tcPr>
            <w:tcW w:w="1257" w:type="pct"/>
          </w:tcPr>
          <w:p w14:paraId="28EBAFAD" w14:textId="4711597E" w:rsidR="0081299F" w:rsidRPr="00E24FCF" w:rsidRDefault="0081299F" w:rsidP="00996C86">
            <w:r w:rsidRPr="00E24FCF">
              <w:t xml:space="preserve">Kopējais jauniestudējumu skaits gadā, jauniešu un bērnu auditorijai vecumā līdz 17 gadiem domāto iestudējumu, kā arī </w:t>
            </w:r>
            <w:r>
              <w:t>oriģināldramaturģijas iestudējumu skaits</w:t>
            </w:r>
          </w:p>
        </w:tc>
        <w:tc>
          <w:tcPr>
            <w:tcW w:w="1623" w:type="pct"/>
          </w:tcPr>
          <w:p w14:paraId="74BF5124" w14:textId="5522295E" w:rsidR="0081299F" w:rsidRPr="00E24FCF" w:rsidRDefault="0081299F" w:rsidP="00996C86">
            <w:r w:rsidRPr="00E24FCF">
              <w:t xml:space="preserve">Plānotais kopējais jauniestudējumu skaits gadā – </w:t>
            </w:r>
            <w:r w:rsidRPr="00FB378D">
              <w:rPr>
                <w:b/>
                <w:bCs/>
              </w:rPr>
              <w:t>8</w:t>
            </w:r>
            <w:r w:rsidRPr="00E24FCF">
              <w:rPr>
                <w:b/>
              </w:rPr>
              <w:t xml:space="preserve">, </w:t>
            </w:r>
            <w:r w:rsidRPr="00E24FCF">
              <w:t xml:space="preserve">bērnu un jauniešu auditorijai vecumā līdz 17 gadiem domāto iestudējumu skaits </w:t>
            </w:r>
            <w:r w:rsidRPr="009C5257">
              <w:rPr>
                <w:b/>
                <w:bCs/>
              </w:rPr>
              <w:t>– 7</w:t>
            </w:r>
            <w:r w:rsidRPr="00E24FCF">
              <w:t xml:space="preserve">, </w:t>
            </w:r>
            <w:r>
              <w:t xml:space="preserve">oriģināldramaturģijas iestudējumu skaits </w:t>
            </w:r>
            <w:r>
              <w:rPr>
                <w:b/>
                <w:bCs/>
              </w:rPr>
              <w:t>4</w:t>
            </w:r>
            <w:r>
              <w:t>.</w:t>
            </w:r>
          </w:p>
        </w:tc>
        <w:tc>
          <w:tcPr>
            <w:tcW w:w="1651" w:type="pct"/>
          </w:tcPr>
          <w:p w14:paraId="500FC4EC" w14:textId="16E88012" w:rsidR="0081299F" w:rsidRPr="00E24FCF" w:rsidRDefault="0081299F" w:rsidP="00996C86">
            <w:r w:rsidRPr="00E24FCF">
              <w:t xml:space="preserve">Kopējais jauniestudējumu skaits – </w:t>
            </w:r>
            <w:r w:rsidRPr="0081299F">
              <w:rPr>
                <w:b/>
                <w:bCs/>
              </w:rPr>
              <w:t>9</w:t>
            </w:r>
            <w:r w:rsidRPr="00E24FCF">
              <w:rPr>
                <w:b/>
              </w:rPr>
              <w:t xml:space="preserve">, </w:t>
            </w:r>
            <w:r w:rsidRPr="00E24FCF">
              <w:t xml:space="preserve">bērnu un jauniešu auditorijai vecumā līdz </w:t>
            </w:r>
            <w:r w:rsidRPr="00180681">
              <w:t>17</w:t>
            </w:r>
            <w:r w:rsidRPr="00E24FCF">
              <w:t xml:space="preserve"> gadiem domāto iestudējumu skaits –</w:t>
            </w:r>
            <w:r>
              <w:t xml:space="preserve"> </w:t>
            </w:r>
            <w:r>
              <w:rPr>
                <w:b/>
                <w:bCs/>
              </w:rPr>
              <w:t>8</w:t>
            </w:r>
            <w:r w:rsidRPr="00E24FCF">
              <w:t xml:space="preserve">, </w:t>
            </w:r>
            <w:r>
              <w:t>oriģināldramaturģijas iestudējumu skaits -</w:t>
            </w:r>
            <w:r>
              <w:rPr>
                <w:b/>
                <w:bCs/>
              </w:rPr>
              <w:t>5</w:t>
            </w:r>
            <w:r>
              <w:t>.</w:t>
            </w:r>
          </w:p>
        </w:tc>
      </w:tr>
      <w:tr w:rsidR="0081299F" w:rsidRPr="00CA5C04" w14:paraId="7CE38152" w14:textId="77777777" w:rsidTr="00FB6172">
        <w:trPr>
          <w:trHeight w:val="2006"/>
        </w:trPr>
        <w:tc>
          <w:tcPr>
            <w:tcW w:w="470" w:type="pct"/>
          </w:tcPr>
          <w:p w14:paraId="6075719B" w14:textId="42579977" w:rsidR="0081299F" w:rsidRDefault="0081299F" w:rsidP="00996C86">
            <w:pPr>
              <w:jc w:val="center"/>
              <w:rPr>
                <w:i/>
                <w:iCs/>
                <w:color w:val="404040" w:themeColor="text1" w:themeTint="BF"/>
                <w:sz w:val="20"/>
              </w:rPr>
            </w:pPr>
            <w:r>
              <w:t>2.1.2</w:t>
            </w:r>
            <w:r w:rsidRPr="00CA5C04">
              <w:t>.</w:t>
            </w:r>
          </w:p>
        </w:tc>
        <w:tc>
          <w:tcPr>
            <w:tcW w:w="1257" w:type="pct"/>
          </w:tcPr>
          <w:p w14:paraId="149438D4" w14:textId="77777777" w:rsidR="0081299F" w:rsidRPr="00E24FCF" w:rsidRDefault="0081299F" w:rsidP="00996C86">
            <w:r w:rsidRPr="00E24FCF">
              <w:t>Izrāžu nosaukumu skaits repertuārā gadā, tajā skaitā latviešu autoru darbu iestudējumu skaits</w:t>
            </w:r>
          </w:p>
        </w:tc>
        <w:tc>
          <w:tcPr>
            <w:tcW w:w="1623" w:type="pct"/>
          </w:tcPr>
          <w:p w14:paraId="1554D79D" w14:textId="4E94B2BA" w:rsidR="0081299F" w:rsidRPr="00E24FCF" w:rsidRDefault="0081299F" w:rsidP="00996C86">
            <w:r w:rsidRPr="00E24FCF">
              <w:t>Plānotais izrāžu nosaukumu skaits repertuārā gadā –</w:t>
            </w:r>
            <w:proofErr w:type="gramStart"/>
            <w:r w:rsidRPr="00E24FCF">
              <w:t xml:space="preserve">  </w:t>
            </w:r>
            <w:proofErr w:type="gramEnd"/>
            <w:r w:rsidRPr="009C5257">
              <w:rPr>
                <w:b/>
                <w:bCs/>
              </w:rPr>
              <w:t>50</w:t>
            </w:r>
            <w:r w:rsidRPr="00E24FCF">
              <w:t xml:space="preserve">, tajā skaitā latviešu autoru darbu iestudējumu skaits –  </w:t>
            </w:r>
            <w:r>
              <w:rPr>
                <w:b/>
                <w:bCs/>
              </w:rPr>
              <w:t>29</w:t>
            </w:r>
            <w:r w:rsidRPr="00E24FCF">
              <w:t>.</w:t>
            </w:r>
          </w:p>
        </w:tc>
        <w:tc>
          <w:tcPr>
            <w:tcW w:w="1651" w:type="pct"/>
          </w:tcPr>
          <w:p w14:paraId="237C916B" w14:textId="3C8EA8FA" w:rsidR="0081299F" w:rsidRPr="00E24FCF" w:rsidRDefault="0081299F" w:rsidP="00996C86">
            <w:r w:rsidRPr="00E24FCF">
              <w:t xml:space="preserve">Izrāžu nosaukumu skaits repertuārā – </w:t>
            </w:r>
            <w:r>
              <w:rPr>
                <w:b/>
                <w:bCs/>
              </w:rPr>
              <w:t>51</w:t>
            </w:r>
            <w:r w:rsidRPr="00E24FCF">
              <w:t>, tajā skaitā latviešu autoru darbu iestudējumu skaits</w:t>
            </w:r>
            <w:r>
              <w:t xml:space="preserve"> - </w:t>
            </w:r>
            <w:r>
              <w:rPr>
                <w:b/>
                <w:bCs/>
              </w:rPr>
              <w:t>30.</w:t>
            </w:r>
          </w:p>
        </w:tc>
      </w:tr>
      <w:tr w:rsidR="0081299F" w:rsidRPr="00CA5C04" w14:paraId="0E9C55E3" w14:textId="77777777" w:rsidTr="00FB6172">
        <w:trPr>
          <w:trHeight w:val="533"/>
        </w:trPr>
        <w:tc>
          <w:tcPr>
            <w:tcW w:w="470" w:type="pct"/>
          </w:tcPr>
          <w:p w14:paraId="3EE5239F" w14:textId="6D83915B" w:rsidR="0081299F" w:rsidRDefault="0081299F" w:rsidP="00996C86">
            <w:pPr>
              <w:jc w:val="center"/>
              <w:rPr>
                <w:i/>
                <w:iCs/>
                <w:color w:val="404040" w:themeColor="text1" w:themeTint="BF"/>
                <w:sz w:val="20"/>
              </w:rPr>
            </w:pPr>
            <w:r>
              <w:t>2.1.3.</w:t>
            </w:r>
          </w:p>
        </w:tc>
        <w:tc>
          <w:tcPr>
            <w:tcW w:w="1257" w:type="pct"/>
          </w:tcPr>
          <w:p w14:paraId="779455E9" w14:textId="77777777" w:rsidR="0081299F" w:rsidRPr="00226811" w:rsidRDefault="0081299F" w:rsidP="00996C86">
            <w:r>
              <w:t>Izrāžu skaits gadā</w:t>
            </w:r>
          </w:p>
        </w:tc>
        <w:tc>
          <w:tcPr>
            <w:tcW w:w="1623" w:type="pct"/>
          </w:tcPr>
          <w:p w14:paraId="10B0D2F8" w14:textId="65E93A37" w:rsidR="0081299F" w:rsidRDefault="0081299F" w:rsidP="00996C86">
            <w:r>
              <w:t xml:space="preserve">Plānotais izrāžu skaits gadā </w:t>
            </w:r>
            <w:r>
              <w:rPr>
                <w:b/>
                <w:bCs/>
              </w:rPr>
              <w:t>490</w:t>
            </w:r>
          </w:p>
        </w:tc>
        <w:tc>
          <w:tcPr>
            <w:tcW w:w="1651" w:type="pct"/>
          </w:tcPr>
          <w:p w14:paraId="3731DA9C" w14:textId="39D9BC6E" w:rsidR="0081299F" w:rsidRDefault="0081299F" w:rsidP="00996C86">
            <w:r>
              <w:t xml:space="preserve">Izrāžu skaits </w:t>
            </w:r>
            <w:r>
              <w:rPr>
                <w:b/>
                <w:bCs/>
              </w:rPr>
              <w:t xml:space="preserve">511 </w:t>
            </w:r>
            <w:r w:rsidRPr="00B143A4">
              <w:t>gadā</w:t>
            </w:r>
          </w:p>
        </w:tc>
      </w:tr>
    </w:tbl>
    <w:p w14:paraId="53523E6B" w14:textId="77777777" w:rsidR="00EA6FAB" w:rsidRDefault="00EA6FAB" w:rsidP="00F91FFF">
      <w:pPr>
        <w:ind w:right="-483"/>
      </w:pPr>
    </w:p>
    <w:p w14:paraId="6C9EDA45" w14:textId="77777777" w:rsidR="009C5257" w:rsidRDefault="009C5257" w:rsidP="00F91FFF">
      <w:pPr>
        <w:ind w:right="-483"/>
      </w:pPr>
    </w:p>
    <w:p w14:paraId="23A1DEC2" w14:textId="77777777" w:rsidR="00EA6FAB" w:rsidRDefault="00EA6FAB" w:rsidP="00F91FFF">
      <w:pPr>
        <w:ind w:right="-483"/>
      </w:pPr>
    </w:p>
    <w:p w14:paraId="386E8BC0" w14:textId="31423AD9" w:rsidR="00F91FFF" w:rsidRDefault="00F91FFF" w:rsidP="00F91FFF">
      <w:pPr>
        <w:ind w:right="-483"/>
      </w:pPr>
      <w:r>
        <w:t>2</w:t>
      </w:r>
      <w:r w:rsidRPr="00EA04C3">
        <w:t>.</w:t>
      </w:r>
      <w:r w:rsidR="00CE5B56">
        <w:t>2.</w:t>
      </w:r>
      <w:r w:rsidRPr="00EA04C3">
        <w:t xml:space="preserve"> </w:t>
      </w:r>
      <w:r>
        <w:rPr>
          <w:szCs w:val="22"/>
        </w:rPr>
        <w:t>T</w:t>
      </w:r>
      <w:r w:rsidRPr="00BE46DD">
        <w:rPr>
          <w:szCs w:val="22"/>
        </w:rPr>
        <w:t>eātra mākslas pieejamība un auditorijas piesaiste:</w:t>
      </w:r>
      <w:r w:rsidRPr="00CA5C04">
        <w:t xml:space="preserve"> </w:t>
      </w:r>
    </w:p>
    <w:p w14:paraId="03F414ED" w14:textId="77777777" w:rsidR="00F91FFF" w:rsidRPr="00CA5C04" w:rsidRDefault="00F91FFF" w:rsidP="00F91FFF">
      <w:pPr>
        <w:ind w:left="-284" w:right="-483"/>
      </w:pPr>
    </w:p>
    <w:tbl>
      <w:tblPr>
        <w:tblW w:w="5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69"/>
        <w:gridCol w:w="2930"/>
        <w:gridCol w:w="2958"/>
      </w:tblGrid>
      <w:tr w:rsidR="00FB6172" w:rsidRPr="00CA5C04" w14:paraId="2A013CCB" w14:textId="77777777" w:rsidTr="00FB6172">
        <w:trPr>
          <w:trHeight w:val="422"/>
        </w:trPr>
        <w:tc>
          <w:tcPr>
            <w:tcW w:w="470" w:type="pct"/>
            <w:vAlign w:val="center"/>
          </w:tcPr>
          <w:p w14:paraId="45D38936" w14:textId="77777777" w:rsidR="0081299F" w:rsidRDefault="0081299F" w:rsidP="00996C86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260" w:type="pct"/>
            <w:vAlign w:val="center"/>
          </w:tcPr>
          <w:p w14:paraId="5F43B089" w14:textId="77777777" w:rsidR="0081299F" w:rsidRDefault="0081299F" w:rsidP="00996C86">
            <w:pPr>
              <w:jc w:val="center"/>
              <w:rPr>
                <w:b/>
              </w:rPr>
            </w:pPr>
            <w:r w:rsidRPr="006B7C36">
              <w:rPr>
                <w:b/>
              </w:rPr>
              <w:t>Rezultatīvais rādītājs</w:t>
            </w:r>
          </w:p>
        </w:tc>
        <w:tc>
          <w:tcPr>
            <w:tcW w:w="1627" w:type="pct"/>
            <w:vAlign w:val="center"/>
          </w:tcPr>
          <w:p w14:paraId="42D86265" w14:textId="77777777" w:rsidR="0081299F" w:rsidRDefault="0081299F" w:rsidP="00996C86">
            <w:pPr>
              <w:jc w:val="center"/>
              <w:rPr>
                <w:b/>
              </w:rPr>
            </w:pPr>
            <w:r w:rsidRPr="006B7C36">
              <w:rPr>
                <w:b/>
              </w:rPr>
              <w:t>Plāns</w:t>
            </w:r>
          </w:p>
        </w:tc>
        <w:tc>
          <w:tcPr>
            <w:tcW w:w="1644" w:type="pct"/>
            <w:vAlign w:val="center"/>
          </w:tcPr>
          <w:p w14:paraId="1A5E01B0" w14:textId="77777777" w:rsidR="0081299F" w:rsidRDefault="0081299F" w:rsidP="00996C86">
            <w:pPr>
              <w:jc w:val="center"/>
              <w:rPr>
                <w:b/>
              </w:rPr>
            </w:pPr>
            <w:r w:rsidRPr="00CA5C04">
              <w:rPr>
                <w:b/>
              </w:rPr>
              <w:t>Izpilde</w:t>
            </w:r>
          </w:p>
          <w:p w14:paraId="20F9A9AC" w14:textId="77777777" w:rsidR="0081299F" w:rsidRDefault="0081299F" w:rsidP="00996C86">
            <w:pPr>
              <w:jc w:val="center"/>
              <w:rPr>
                <w:b/>
              </w:rPr>
            </w:pPr>
            <w:r>
              <w:rPr>
                <w:b/>
              </w:rPr>
              <w:t>12 mēnešos</w:t>
            </w:r>
          </w:p>
          <w:p w14:paraId="1A82E112" w14:textId="2CCBA168" w:rsidR="0081299F" w:rsidRPr="006B7C36" w:rsidRDefault="0081299F" w:rsidP="00996C86">
            <w:pPr>
              <w:jc w:val="center"/>
              <w:rPr>
                <w:b/>
              </w:rPr>
            </w:pPr>
          </w:p>
        </w:tc>
      </w:tr>
      <w:tr w:rsidR="00FB6172" w:rsidRPr="00CA5C04" w14:paraId="7758E8C4" w14:textId="77777777" w:rsidTr="00FB6172">
        <w:tc>
          <w:tcPr>
            <w:tcW w:w="470" w:type="pct"/>
          </w:tcPr>
          <w:p w14:paraId="0C85F5A4" w14:textId="0F2ABF5E" w:rsidR="0081299F" w:rsidRDefault="0081299F" w:rsidP="00996C86">
            <w:pPr>
              <w:jc w:val="center"/>
            </w:pPr>
            <w:r>
              <w:t>2</w:t>
            </w:r>
            <w:r w:rsidRPr="00CA5C04">
              <w:t>.</w:t>
            </w:r>
            <w:r>
              <w:t>2.</w:t>
            </w:r>
            <w:r w:rsidRPr="00CA5C04">
              <w:t>1.</w:t>
            </w:r>
          </w:p>
        </w:tc>
        <w:tc>
          <w:tcPr>
            <w:tcW w:w="1260" w:type="pct"/>
          </w:tcPr>
          <w:p w14:paraId="0A2D4968" w14:textId="77777777" w:rsidR="0081299F" w:rsidRDefault="0081299F" w:rsidP="00996C86">
            <w:pPr>
              <w:rPr>
                <w:color w:val="000000" w:themeColor="text1"/>
              </w:rPr>
            </w:pPr>
            <w:r w:rsidRPr="006B7C36">
              <w:rPr>
                <w:color w:val="000000" w:themeColor="text1"/>
              </w:rPr>
              <w:t xml:space="preserve">Apmeklējumu skaits gadā </w:t>
            </w:r>
          </w:p>
        </w:tc>
        <w:tc>
          <w:tcPr>
            <w:tcW w:w="1627" w:type="pct"/>
          </w:tcPr>
          <w:p w14:paraId="0665D06F" w14:textId="4896B436" w:rsidR="0081299F" w:rsidRDefault="0081299F" w:rsidP="00996C86">
            <w:r w:rsidRPr="00CA5C04">
              <w:t xml:space="preserve">Ne mazāk kā </w:t>
            </w:r>
            <w:r>
              <w:rPr>
                <w:b/>
              </w:rPr>
              <w:t>49 000</w:t>
            </w:r>
            <w:r w:rsidRPr="006B7C36">
              <w:rPr>
                <w:b/>
              </w:rPr>
              <w:t xml:space="preserve"> </w:t>
            </w:r>
            <w:r w:rsidRPr="006B7C36">
              <w:t>apmeklējumu</w:t>
            </w:r>
          </w:p>
        </w:tc>
        <w:tc>
          <w:tcPr>
            <w:tcW w:w="1644" w:type="pct"/>
          </w:tcPr>
          <w:p w14:paraId="2A7E5307" w14:textId="77847E55" w:rsidR="0081299F" w:rsidRPr="00626FD3" w:rsidRDefault="0081299F" w:rsidP="00996C86">
            <w:r>
              <w:rPr>
                <w:b/>
                <w:bCs/>
              </w:rPr>
              <w:t>58 056</w:t>
            </w:r>
            <w:r>
              <w:t xml:space="preserve"> </w:t>
            </w:r>
            <w:r w:rsidRPr="00626FD3">
              <w:t>apmeklējumu</w:t>
            </w:r>
          </w:p>
          <w:p w14:paraId="30423786" w14:textId="4B440F54" w:rsidR="0081299F" w:rsidRPr="00626FD3" w:rsidRDefault="0081299F" w:rsidP="0007538C">
            <w:pPr>
              <w:jc w:val="left"/>
            </w:pPr>
          </w:p>
        </w:tc>
      </w:tr>
      <w:tr w:rsidR="0081299F" w:rsidRPr="00CA5C04" w14:paraId="108764B1" w14:textId="77777777" w:rsidTr="00FB6172">
        <w:trPr>
          <w:trHeight w:val="2394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A649" w14:textId="569E99F4" w:rsidR="0081299F" w:rsidRPr="00CA5C04" w:rsidRDefault="0081299F" w:rsidP="00996C86">
            <w:pPr>
              <w:jc w:val="left"/>
            </w:pPr>
            <w:r>
              <w:lastRenderedPageBreak/>
              <w:t>2.2</w:t>
            </w:r>
            <w:r w:rsidRPr="00CA5C04">
              <w:t>.</w:t>
            </w:r>
            <w:r>
              <w:t>2.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5F465" w14:textId="77777777" w:rsidR="0081299F" w:rsidRDefault="0081299F" w:rsidP="00996C86">
            <w:pPr>
              <w:rPr>
                <w:color w:val="000000" w:themeColor="text1"/>
              </w:rPr>
            </w:pPr>
            <w:r w:rsidRPr="006B7C36">
              <w:rPr>
                <w:color w:val="000000" w:themeColor="text1"/>
              </w:rPr>
              <w:t>Pasākumi, kas sekmē TEĀTRA pakalpojumu pieejamību dažādām sabiedrības mērķgrupām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87E" w14:textId="77777777" w:rsidR="0081299F" w:rsidRDefault="0081299F" w:rsidP="00996C86">
            <w:r>
              <w:t xml:space="preserve">Studentiem, </w:t>
            </w:r>
            <w:r w:rsidRPr="00CA5C04">
              <w:t xml:space="preserve">pensionāriem, ģimenēm </w:t>
            </w:r>
            <w:proofErr w:type="gramStart"/>
            <w:r w:rsidRPr="00CA5C04">
              <w:t xml:space="preserve">ar bērniem u.c. maznodrošinātu sociālo grupu </w:t>
            </w:r>
            <w:r w:rsidRPr="006B7C36">
              <w:t>pārstāvjiem piedāvātās atlaides</w:t>
            </w:r>
            <w:proofErr w:type="gramEnd"/>
            <w:r>
              <w:t xml:space="preserve"> – </w:t>
            </w:r>
            <w:r w:rsidRPr="00CA5C04">
              <w:t>biļetes par paz</w:t>
            </w:r>
            <w:r w:rsidRPr="00265946">
              <w:t>eminātām cenām (ne mazāk par 10</w:t>
            </w:r>
            <w:r>
              <w:t> </w:t>
            </w:r>
            <w:r w:rsidRPr="00CA5C04">
              <w:t xml:space="preserve">% no vidējās biļešu </w:t>
            </w:r>
            <w:r w:rsidRPr="00265946">
              <w:t xml:space="preserve">cenas) ne mazāk kā </w:t>
            </w:r>
            <w:r>
              <w:rPr>
                <w:b/>
                <w:bCs/>
              </w:rPr>
              <w:t>8</w:t>
            </w:r>
            <w:r w:rsidRPr="00433E4B">
              <w:rPr>
                <w:b/>
                <w:bCs/>
              </w:rPr>
              <w:t xml:space="preserve"> 000 </w:t>
            </w:r>
            <w:r w:rsidRPr="00CA5C04">
              <w:t>apmeklētājiem</w:t>
            </w:r>
            <w:r>
              <w:t>.</w:t>
            </w:r>
          </w:p>
          <w:p w14:paraId="34FD912C" w14:textId="77BD23F9" w:rsidR="0081299F" w:rsidRDefault="0081299F" w:rsidP="00996C86"/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2BE" w14:textId="07CE493F" w:rsidR="0081299F" w:rsidRPr="00626FD3" w:rsidRDefault="0081299F" w:rsidP="00996C86">
            <w:r w:rsidRPr="00626FD3">
              <w:t>Biļetes par pazeminātām cenām</w:t>
            </w:r>
            <w:r>
              <w:t xml:space="preserve"> </w:t>
            </w:r>
            <w:r w:rsidRPr="0081299F">
              <w:rPr>
                <w:b/>
                <w:bCs/>
              </w:rPr>
              <w:t>10 976</w:t>
            </w:r>
            <w:r>
              <w:t xml:space="preserve"> </w:t>
            </w:r>
            <w:r w:rsidRPr="00626FD3">
              <w:t>apmeklētājiem</w:t>
            </w:r>
            <w:r>
              <w:t xml:space="preserve">, tajā skaitā Latvijas Goda ģimenes apliecības īpašniekiem piedāvātās atlaides - ne mazāk kā – </w:t>
            </w:r>
            <w:r>
              <w:rPr>
                <w:b/>
                <w:bCs/>
              </w:rPr>
              <w:t>5 802</w:t>
            </w:r>
            <w:r>
              <w:t xml:space="preserve"> apmeklētājiem</w:t>
            </w:r>
          </w:p>
          <w:p w14:paraId="4F913412" w14:textId="0FDC985B" w:rsidR="0081299F" w:rsidRPr="00626FD3" w:rsidRDefault="0081299F" w:rsidP="00996C86"/>
        </w:tc>
      </w:tr>
      <w:tr w:rsidR="0081299F" w:rsidRPr="00CA5C04" w14:paraId="021BB9A1" w14:textId="77777777" w:rsidTr="00FB6172">
        <w:trPr>
          <w:trHeight w:val="982"/>
        </w:trPr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9F16" w14:textId="77777777" w:rsidR="0081299F" w:rsidRPr="00CA5C04" w:rsidRDefault="0081299F" w:rsidP="00996C86">
            <w:pPr>
              <w:jc w:val="left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9DF17" w14:textId="77777777" w:rsidR="0081299F" w:rsidRDefault="0081299F" w:rsidP="00996C86">
            <w:pPr>
              <w:rPr>
                <w:i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5DE" w14:textId="383B1487" w:rsidR="0081299F" w:rsidRDefault="0081299F" w:rsidP="00996C86">
            <w:r w:rsidRPr="00CA5C04">
              <w:t xml:space="preserve">Labdarības mērķiem izplatītās brīvbiļetes ne mazāk kā </w:t>
            </w:r>
            <w:r>
              <w:rPr>
                <w:b/>
                <w:bCs/>
              </w:rPr>
              <w:t>1</w:t>
            </w:r>
            <w:r w:rsidRPr="00433E4B">
              <w:rPr>
                <w:b/>
                <w:bCs/>
              </w:rPr>
              <w:t>%</w:t>
            </w:r>
            <w:r w:rsidRPr="00CA5C04">
              <w:t xml:space="preserve"> apmeklētājiem gadā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568" w14:textId="08DE867B" w:rsidR="0081299F" w:rsidRPr="006B7C36" w:rsidRDefault="0081299F" w:rsidP="00996C86">
            <w:r w:rsidRPr="006B7C36">
              <w:t xml:space="preserve">Labdarības mērķiem izplatītās </w:t>
            </w:r>
            <w:r>
              <w:t xml:space="preserve">brīvbiļetes </w:t>
            </w:r>
            <w:r w:rsidRPr="0081299F">
              <w:rPr>
                <w:b/>
                <w:bCs/>
              </w:rPr>
              <w:t>1.4%</w:t>
            </w:r>
            <w:r>
              <w:t xml:space="preserve"> apmeklētājiem </w:t>
            </w:r>
            <w:r w:rsidRPr="006B7C36">
              <w:t>gadā</w:t>
            </w:r>
          </w:p>
        </w:tc>
      </w:tr>
      <w:tr w:rsidR="00FB6172" w:rsidRPr="00CA5C04" w14:paraId="59AEF4A6" w14:textId="77777777" w:rsidTr="00FB6172">
        <w:trPr>
          <w:trHeight w:val="692"/>
        </w:trPr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14:paraId="7CACF45B" w14:textId="4697BBF6" w:rsidR="00FB6172" w:rsidRPr="00CA5C04" w:rsidRDefault="00FB6172" w:rsidP="00996C86">
            <w:pPr>
              <w:jc w:val="left"/>
            </w:pPr>
            <w:r>
              <w:t>2.2.3.</w:t>
            </w:r>
          </w:p>
        </w:tc>
        <w:tc>
          <w:tcPr>
            <w:tcW w:w="1260" w:type="pct"/>
            <w:tcBorders>
              <w:left w:val="single" w:sz="4" w:space="0" w:color="auto"/>
              <w:right w:val="single" w:sz="4" w:space="0" w:color="auto"/>
            </w:tcBorders>
          </w:tcPr>
          <w:p w14:paraId="122740F9" w14:textId="77777777" w:rsidR="00FB6172" w:rsidRPr="000744EF" w:rsidRDefault="00FB6172" w:rsidP="00996C86">
            <w:pPr>
              <w:rPr>
                <w:i/>
              </w:rPr>
            </w:pPr>
            <w:r w:rsidRPr="000744EF">
              <w:rPr>
                <w:color w:val="000000" w:themeColor="text1"/>
              </w:rPr>
              <w:t>Izrāžu skaits Latvijas teritorijā ārpus pastāvīgās atrašanās vietas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8E2" w14:textId="6A2D1C9F" w:rsidR="00FB6172" w:rsidRPr="00CA5C04" w:rsidRDefault="00FB6172" w:rsidP="00996C86">
            <w:r w:rsidRPr="006B7C36">
              <w:t xml:space="preserve">Ne mazāk kā </w:t>
            </w:r>
            <w:r w:rsidRPr="00CE5B56">
              <w:rPr>
                <w:b/>
                <w:bCs/>
              </w:rPr>
              <w:t xml:space="preserve">30 </w:t>
            </w:r>
            <w:r w:rsidRPr="006B7C36">
              <w:t>izrādes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72E" w14:textId="7156F369" w:rsidR="00FB6172" w:rsidRDefault="00FB6172" w:rsidP="00996C86">
            <w:r>
              <w:rPr>
                <w:b/>
                <w:bCs/>
              </w:rPr>
              <w:t>32</w:t>
            </w:r>
            <w:r w:rsidRPr="006B7C36">
              <w:t xml:space="preserve"> izrādes</w:t>
            </w:r>
            <w:r>
              <w:t>, tajā skaitā</w:t>
            </w:r>
          </w:p>
          <w:p w14:paraId="4442158A" w14:textId="1965A72F" w:rsidR="00FB6172" w:rsidRDefault="00FB6172" w:rsidP="00004D55">
            <w:r>
              <w:t>11 - Kurzemē</w:t>
            </w:r>
          </w:p>
          <w:p w14:paraId="36412334" w14:textId="568A8227" w:rsidR="00FB6172" w:rsidRDefault="00FB6172" w:rsidP="00004D55">
            <w:r>
              <w:t>1 - Zemgalē</w:t>
            </w:r>
          </w:p>
          <w:p w14:paraId="7BF05415" w14:textId="01DB0D91" w:rsidR="00FB6172" w:rsidRDefault="00FB6172" w:rsidP="00004D55">
            <w:r>
              <w:t>10 - Vidzemē</w:t>
            </w:r>
          </w:p>
          <w:p w14:paraId="4DD6B3CC" w14:textId="3D7CB6EB" w:rsidR="00FB6172" w:rsidRDefault="00FB6172" w:rsidP="00004D55">
            <w:r>
              <w:t xml:space="preserve">4 - Latgalē </w:t>
            </w:r>
          </w:p>
          <w:p w14:paraId="6A3DA34F" w14:textId="74C2A1B8" w:rsidR="00FB6172" w:rsidRPr="006B7C36" w:rsidRDefault="00FB6172" w:rsidP="00004D55">
            <w:r>
              <w:t>9 - Rīgā</w:t>
            </w:r>
          </w:p>
        </w:tc>
      </w:tr>
      <w:tr w:rsidR="00FB6172" w:rsidRPr="00CA5C04" w14:paraId="6FE91FC0" w14:textId="77777777" w:rsidTr="00FB6172">
        <w:trPr>
          <w:trHeight w:val="417"/>
        </w:trPr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42D" w14:textId="7936821A" w:rsidR="00FB6172" w:rsidRDefault="00FB6172" w:rsidP="00996C86">
            <w:pPr>
              <w:jc w:val="left"/>
            </w:pPr>
            <w:r>
              <w:t>2.2.4.</w:t>
            </w:r>
          </w:p>
        </w:tc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D18" w14:textId="77777777" w:rsidR="00FB6172" w:rsidRPr="000744EF" w:rsidRDefault="00FB6172" w:rsidP="00996C86">
            <w:pPr>
              <w:rPr>
                <w:color w:val="000000" w:themeColor="text1"/>
              </w:rPr>
            </w:pPr>
            <w:r w:rsidRPr="006B7C36">
              <w:t xml:space="preserve">Pastāvīgo zāļu </w:t>
            </w:r>
            <w:proofErr w:type="spellStart"/>
            <w:r w:rsidRPr="006B7C36">
              <w:t>aizpildītība</w:t>
            </w:r>
            <w:proofErr w:type="spellEnd"/>
            <w:r>
              <w:t xml:space="preserve"> (%)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4C7" w14:textId="69FA118A" w:rsidR="00FB6172" w:rsidRPr="006B7C36" w:rsidRDefault="00FB6172" w:rsidP="00996C86">
            <w:r w:rsidRPr="006B7C36">
              <w:t xml:space="preserve">Ne mazāk kā </w:t>
            </w:r>
            <w:r w:rsidRPr="00FB6172">
              <w:rPr>
                <w:b/>
                <w:bCs/>
              </w:rPr>
              <w:t>94%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464" w14:textId="7B073A91" w:rsidR="00FB6172" w:rsidRPr="006B7C36" w:rsidRDefault="00FB6172" w:rsidP="00996C86">
            <w:pPr>
              <w:rPr>
                <w:b/>
              </w:rPr>
            </w:pPr>
            <w:r>
              <w:rPr>
                <w:b/>
              </w:rPr>
              <w:t>95%</w:t>
            </w:r>
          </w:p>
        </w:tc>
      </w:tr>
    </w:tbl>
    <w:p w14:paraId="5D73F745" w14:textId="77777777" w:rsidR="00F91FFF" w:rsidRDefault="00F91FFF" w:rsidP="00F91FFF"/>
    <w:p w14:paraId="44E1E8E9" w14:textId="57161731" w:rsidR="00F91FFF" w:rsidRDefault="003128E0" w:rsidP="00F91FFF">
      <w:pPr>
        <w:ind w:right="-483"/>
      </w:pPr>
      <w:r>
        <w:t>2.</w:t>
      </w:r>
      <w:r w:rsidR="00F91FFF">
        <w:t>3</w:t>
      </w:r>
      <w:r w:rsidR="00F91FFF" w:rsidRPr="00EA04C3">
        <w:t xml:space="preserve">. </w:t>
      </w:r>
      <w:r w:rsidR="00F91FFF">
        <w:t>Kultūrizglītība un jaunas a</w:t>
      </w:r>
      <w:r w:rsidR="00F91FFF" w:rsidRPr="00CA5C04">
        <w:t xml:space="preserve">uditorijas piesaiste: </w:t>
      </w:r>
    </w:p>
    <w:p w14:paraId="29B0FA21" w14:textId="77777777" w:rsidR="00F91FFF" w:rsidRPr="00CA5C04" w:rsidRDefault="00F91FFF" w:rsidP="00F91FFF">
      <w:pPr>
        <w:ind w:left="-284" w:right="-483"/>
      </w:pPr>
    </w:p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201"/>
        <w:gridCol w:w="3079"/>
        <w:gridCol w:w="2928"/>
      </w:tblGrid>
      <w:tr w:rsidR="00FB6172" w:rsidRPr="00CA5C04" w14:paraId="2FA2095D" w14:textId="77777777" w:rsidTr="00FB6172">
        <w:trPr>
          <w:trHeight w:val="422"/>
        </w:trPr>
        <w:tc>
          <w:tcPr>
            <w:tcW w:w="450" w:type="pct"/>
            <w:vAlign w:val="center"/>
          </w:tcPr>
          <w:p w14:paraId="05788268" w14:textId="77777777" w:rsidR="00FB6172" w:rsidRDefault="00FB6172" w:rsidP="00996C86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220" w:type="pct"/>
            <w:vAlign w:val="center"/>
          </w:tcPr>
          <w:p w14:paraId="7B2F8F04" w14:textId="77777777" w:rsidR="00FB6172" w:rsidRDefault="00FB6172" w:rsidP="00996C86">
            <w:pPr>
              <w:jc w:val="center"/>
              <w:rPr>
                <w:b/>
              </w:rPr>
            </w:pPr>
            <w:r w:rsidRPr="006B7C36">
              <w:rPr>
                <w:b/>
              </w:rPr>
              <w:t>Rezultatīvais rādītājs</w:t>
            </w:r>
          </w:p>
        </w:tc>
        <w:tc>
          <w:tcPr>
            <w:tcW w:w="1707" w:type="pct"/>
            <w:vAlign w:val="center"/>
          </w:tcPr>
          <w:p w14:paraId="6A8E9858" w14:textId="77777777" w:rsidR="00FB6172" w:rsidRDefault="00FB6172" w:rsidP="00996C86">
            <w:pPr>
              <w:jc w:val="center"/>
              <w:rPr>
                <w:b/>
              </w:rPr>
            </w:pPr>
            <w:r w:rsidRPr="006B7C36">
              <w:rPr>
                <w:b/>
              </w:rPr>
              <w:t>Plāns</w:t>
            </w:r>
          </w:p>
        </w:tc>
        <w:tc>
          <w:tcPr>
            <w:tcW w:w="1623" w:type="pct"/>
            <w:vAlign w:val="center"/>
          </w:tcPr>
          <w:p w14:paraId="2D7CCA0B" w14:textId="77777777" w:rsidR="00FB6172" w:rsidRDefault="00FB6172" w:rsidP="00996C86">
            <w:pPr>
              <w:jc w:val="center"/>
              <w:rPr>
                <w:b/>
              </w:rPr>
            </w:pPr>
            <w:r w:rsidRPr="00CA5C04">
              <w:rPr>
                <w:b/>
              </w:rPr>
              <w:t>Izpilde</w:t>
            </w:r>
          </w:p>
          <w:p w14:paraId="0818848F" w14:textId="275FC61D" w:rsidR="00FB6172" w:rsidRPr="006B7C36" w:rsidRDefault="00FB6172" w:rsidP="00996C86">
            <w:pPr>
              <w:jc w:val="center"/>
              <w:rPr>
                <w:b/>
              </w:rPr>
            </w:pPr>
            <w:r>
              <w:rPr>
                <w:b/>
              </w:rPr>
              <w:t>12 mēnešos</w:t>
            </w:r>
          </w:p>
        </w:tc>
      </w:tr>
      <w:tr w:rsidR="00FB6172" w:rsidRPr="00CA5C04" w14:paraId="19A3D706" w14:textId="77777777" w:rsidTr="00FB6172">
        <w:trPr>
          <w:trHeight w:val="995"/>
        </w:trPr>
        <w:tc>
          <w:tcPr>
            <w:tcW w:w="450" w:type="pct"/>
          </w:tcPr>
          <w:p w14:paraId="764DFD17" w14:textId="4C1F3E34" w:rsidR="00FB6172" w:rsidRDefault="00FB6172" w:rsidP="00996C86">
            <w:pPr>
              <w:jc w:val="center"/>
            </w:pPr>
            <w:r>
              <w:t>2.3</w:t>
            </w:r>
            <w:r w:rsidRPr="00CA5C04">
              <w:t>.1.</w:t>
            </w:r>
          </w:p>
        </w:tc>
        <w:tc>
          <w:tcPr>
            <w:tcW w:w="1220" w:type="pct"/>
          </w:tcPr>
          <w:p w14:paraId="28F34010" w14:textId="77777777" w:rsidR="00FB6172" w:rsidRDefault="00FB6172" w:rsidP="00996C86">
            <w:pPr>
              <w:rPr>
                <w:color w:val="000000" w:themeColor="text1"/>
              </w:rPr>
            </w:pPr>
            <w:r w:rsidRPr="006B7C36">
              <w:rPr>
                <w:color w:val="000000" w:themeColor="text1"/>
              </w:rPr>
              <w:t>Jauniešu un bērnu auditorijai vecumā līdz 17 gadiem domāto izrāžu skaits gadā</w:t>
            </w:r>
          </w:p>
        </w:tc>
        <w:tc>
          <w:tcPr>
            <w:tcW w:w="1707" w:type="pct"/>
          </w:tcPr>
          <w:p w14:paraId="16ED5E16" w14:textId="30136C7B" w:rsidR="00FB6172" w:rsidRDefault="00FB6172" w:rsidP="00996C86">
            <w:r w:rsidRPr="00CA5C04">
              <w:t xml:space="preserve">Ne mazāk kā </w:t>
            </w:r>
            <w:r>
              <w:rPr>
                <w:b/>
              </w:rPr>
              <w:t xml:space="preserve">470 </w:t>
            </w:r>
            <w:r>
              <w:t>izrādes</w:t>
            </w:r>
          </w:p>
        </w:tc>
        <w:tc>
          <w:tcPr>
            <w:tcW w:w="1623" w:type="pct"/>
          </w:tcPr>
          <w:p w14:paraId="32EBC2FB" w14:textId="481A0B51" w:rsidR="00FB6172" w:rsidRPr="00626FD3" w:rsidRDefault="00FB6172" w:rsidP="00996C86">
            <w:r>
              <w:rPr>
                <w:b/>
                <w:bCs/>
              </w:rPr>
              <w:t>480</w:t>
            </w:r>
            <w:r>
              <w:t xml:space="preserve"> izrādes</w:t>
            </w:r>
          </w:p>
        </w:tc>
      </w:tr>
      <w:tr w:rsidR="00FB6172" w:rsidRPr="00CA5C04" w14:paraId="79EE661F" w14:textId="77777777" w:rsidTr="00FB6172">
        <w:trPr>
          <w:trHeight w:val="1008"/>
        </w:trPr>
        <w:tc>
          <w:tcPr>
            <w:tcW w:w="450" w:type="pct"/>
          </w:tcPr>
          <w:p w14:paraId="3D7CD1BA" w14:textId="3A9EF528" w:rsidR="00FB6172" w:rsidRDefault="00FB6172" w:rsidP="00996C86">
            <w:pPr>
              <w:jc w:val="center"/>
            </w:pPr>
            <w:r>
              <w:t>2.3</w:t>
            </w:r>
            <w:r w:rsidRPr="00CA5C04">
              <w:t>.2.</w:t>
            </w:r>
          </w:p>
        </w:tc>
        <w:tc>
          <w:tcPr>
            <w:tcW w:w="1220" w:type="pct"/>
          </w:tcPr>
          <w:p w14:paraId="7886B086" w14:textId="77777777" w:rsidR="00FB6172" w:rsidRDefault="00FB6172" w:rsidP="00996C86">
            <w:pPr>
              <w:rPr>
                <w:color w:val="000000" w:themeColor="text1"/>
              </w:rPr>
            </w:pPr>
            <w:r w:rsidRPr="006B7C36">
              <w:rPr>
                <w:color w:val="000000" w:themeColor="text1"/>
              </w:rPr>
              <w:t>Jauniešu un bērnu auditorijai vecumā līdz 17 gadiem domāto izrāžu apmeklējumu skaits gadā</w:t>
            </w:r>
          </w:p>
        </w:tc>
        <w:tc>
          <w:tcPr>
            <w:tcW w:w="1707" w:type="pct"/>
          </w:tcPr>
          <w:p w14:paraId="622EEA5B" w14:textId="7CFE1BCF" w:rsidR="00FB6172" w:rsidRDefault="00FB6172" w:rsidP="00996C86">
            <w:r w:rsidRPr="00CA5C04">
              <w:t xml:space="preserve">Ne mazāk kā </w:t>
            </w:r>
            <w:r>
              <w:rPr>
                <w:b/>
              </w:rPr>
              <w:t xml:space="preserve">48 000 </w:t>
            </w:r>
            <w:r w:rsidRPr="00CA5C04">
              <w:t>apmeklējumu</w:t>
            </w:r>
          </w:p>
        </w:tc>
        <w:tc>
          <w:tcPr>
            <w:tcW w:w="1623" w:type="pct"/>
          </w:tcPr>
          <w:p w14:paraId="349CAEE5" w14:textId="3359193D" w:rsidR="00FB6172" w:rsidRPr="00626FD3" w:rsidRDefault="00FB6172" w:rsidP="00996C86">
            <w:pPr>
              <w:rPr>
                <w:b/>
              </w:rPr>
            </w:pPr>
            <w:r>
              <w:rPr>
                <w:b/>
              </w:rPr>
              <w:t xml:space="preserve">56 000 </w:t>
            </w:r>
            <w:r w:rsidRPr="00626FD3">
              <w:t>apmeklējumu</w:t>
            </w:r>
          </w:p>
        </w:tc>
      </w:tr>
    </w:tbl>
    <w:p w14:paraId="49D0B8C9" w14:textId="77777777" w:rsidR="00F91FFF" w:rsidRDefault="00F91FFF" w:rsidP="00F91FFF"/>
    <w:p w14:paraId="148C0235" w14:textId="77777777" w:rsidR="00B83002" w:rsidRDefault="00B83002" w:rsidP="00F91FFF"/>
    <w:p w14:paraId="032252AC" w14:textId="77777777" w:rsidR="00B83002" w:rsidRDefault="00B83002" w:rsidP="00F91FFF"/>
    <w:p w14:paraId="2A7B3093" w14:textId="77777777" w:rsidR="00B83002" w:rsidRDefault="00B83002" w:rsidP="00F91FFF"/>
    <w:p w14:paraId="196457CD" w14:textId="77777777" w:rsidR="00210A46" w:rsidRDefault="00210A46" w:rsidP="00F91FFF"/>
    <w:p w14:paraId="674DC4DE" w14:textId="3FE9395D" w:rsidR="00F91FFF" w:rsidRDefault="00B83002" w:rsidP="00F91FFF">
      <w:r>
        <w:t>2.</w:t>
      </w:r>
      <w:r w:rsidR="00F91FFF" w:rsidRPr="00CA5C04">
        <w:t>4. TEĀTRA darbīb</w:t>
      </w:r>
      <w:r w:rsidR="00F91FFF" w:rsidRPr="006B7C36">
        <w:t xml:space="preserve">as </w:t>
      </w:r>
      <w:r w:rsidR="00F91FFF" w:rsidRPr="000744EF">
        <w:t>starptautiskā dimensija:</w:t>
      </w:r>
      <w:r w:rsidR="00F91FFF" w:rsidRPr="006B7C36">
        <w:t xml:space="preserve"> </w:t>
      </w:r>
    </w:p>
    <w:p w14:paraId="2D866E4A" w14:textId="77777777" w:rsidR="00F91FFF" w:rsidRDefault="00F91FFF" w:rsidP="00F91FFF"/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125"/>
        <w:gridCol w:w="3121"/>
        <w:gridCol w:w="2928"/>
      </w:tblGrid>
      <w:tr w:rsidR="00FB6172" w:rsidRPr="00CA5C04" w14:paraId="14A11F22" w14:textId="77777777" w:rsidTr="0062798E">
        <w:trPr>
          <w:trHeight w:val="423"/>
        </w:trPr>
        <w:tc>
          <w:tcPr>
            <w:tcW w:w="468" w:type="pct"/>
            <w:vAlign w:val="center"/>
          </w:tcPr>
          <w:p w14:paraId="1941C71B" w14:textId="77777777" w:rsidR="00FB6172" w:rsidRPr="00CA5C04" w:rsidRDefault="00FB6172" w:rsidP="00996C86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1178" w:type="pct"/>
            <w:vAlign w:val="center"/>
          </w:tcPr>
          <w:p w14:paraId="0B800F75" w14:textId="77777777" w:rsidR="00FB6172" w:rsidRDefault="00FB6172" w:rsidP="00996C86">
            <w:pPr>
              <w:jc w:val="center"/>
            </w:pPr>
            <w:r w:rsidRPr="00CA5C04">
              <w:rPr>
                <w:b/>
              </w:rPr>
              <w:t>Rezultatīvais rādītājs</w:t>
            </w:r>
          </w:p>
        </w:tc>
        <w:tc>
          <w:tcPr>
            <w:tcW w:w="1730" w:type="pct"/>
            <w:vAlign w:val="center"/>
          </w:tcPr>
          <w:p w14:paraId="4ADDBB44" w14:textId="77777777" w:rsidR="00FB6172" w:rsidRDefault="00FB6172" w:rsidP="00996C86">
            <w:pPr>
              <w:jc w:val="center"/>
            </w:pPr>
            <w:r w:rsidRPr="00CA5C04">
              <w:rPr>
                <w:b/>
              </w:rPr>
              <w:t>Plāns</w:t>
            </w:r>
          </w:p>
        </w:tc>
        <w:tc>
          <w:tcPr>
            <w:tcW w:w="1623" w:type="pct"/>
            <w:vAlign w:val="center"/>
          </w:tcPr>
          <w:p w14:paraId="78A62CB8" w14:textId="77777777" w:rsidR="00FB6172" w:rsidRDefault="00FB6172" w:rsidP="00996C86">
            <w:pPr>
              <w:jc w:val="center"/>
              <w:rPr>
                <w:b/>
              </w:rPr>
            </w:pPr>
            <w:r w:rsidRPr="00CA5C04">
              <w:rPr>
                <w:b/>
              </w:rPr>
              <w:t>Izpilde</w:t>
            </w:r>
          </w:p>
          <w:p w14:paraId="16FA1FC2" w14:textId="1A0E90C6" w:rsidR="00FB6172" w:rsidRPr="00CA5C04" w:rsidRDefault="00FB6172" w:rsidP="00996C86">
            <w:pPr>
              <w:jc w:val="center"/>
              <w:rPr>
                <w:b/>
              </w:rPr>
            </w:pPr>
            <w:r>
              <w:rPr>
                <w:b/>
              </w:rPr>
              <w:t>9 mēnešos</w:t>
            </w:r>
          </w:p>
        </w:tc>
      </w:tr>
      <w:tr w:rsidR="00FB6172" w:rsidRPr="00CA5C04" w14:paraId="6D9555CA" w14:textId="77777777" w:rsidTr="0062798E">
        <w:trPr>
          <w:trHeight w:val="471"/>
        </w:trPr>
        <w:tc>
          <w:tcPr>
            <w:tcW w:w="468" w:type="pct"/>
          </w:tcPr>
          <w:p w14:paraId="04342409" w14:textId="4E8D1877" w:rsidR="00FB6172" w:rsidRDefault="00FB6172" w:rsidP="00996C86">
            <w:pPr>
              <w:jc w:val="center"/>
            </w:pPr>
            <w:r>
              <w:t>2.4.1</w:t>
            </w:r>
            <w:r w:rsidRPr="00CA5C04">
              <w:t>.</w:t>
            </w:r>
          </w:p>
        </w:tc>
        <w:tc>
          <w:tcPr>
            <w:tcW w:w="1178" w:type="pct"/>
          </w:tcPr>
          <w:p w14:paraId="5F572816" w14:textId="77777777" w:rsidR="00FB6172" w:rsidRDefault="00FB6172" w:rsidP="00996C86">
            <w:r w:rsidRPr="006B7C36">
              <w:t xml:space="preserve">Izrāžu skaits gadā </w:t>
            </w:r>
            <w:r>
              <w:t>ārvalstīs</w:t>
            </w:r>
          </w:p>
        </w:tc>
        <w:tc>
          <w:tcPr>
            <w:tcW w:w="1730" w:type="pct"/>
          </w:tcPr>
          <w:p w14:paraId="2DA9C463" w14:textId="370E1317" w:rsidR="00FB6172" w:rsidRDefault="00FB6172" w:rsidP="00996C86">
            <w:r w:rsidRPr="006B7C36">
              <w:t xml:space="preserve">Ne mazāk kā </w:t>
            </w:r>
            <w:r>
              <w:rPr>
                <w:b/>
                <w:bCs/>
              </w:rPr>
              <w:t>2</w:t>
            </w:r>
            <w:r w:rsidRPr="00EA6FAB">
              <w:rPr>
                <w:b/>
                <w:bCs/>
              </w:rPr>
              <w:t xml:space="preserve"> </w:t>
            </w:r>
            <w:r w:rsidRPr="006B7C36">
              <w:t>izrādes</w:t>
            </w:r>
          </w:p>
        </w:tc>
        <w:tc>
          <w:tcPr>
            <w:tcW w:w="1623" w:type="pct"/>
          </w:tcPr>
          <w:p w14:paraId="7919CB33" w14:textId="13989464" w:rsidR="00FB6172" w:rsidRPr="006B7C36" w:rsidRDefault="00FB6172" w:rsidP="00996C86">
            <w:r w:rsidRPr="00FB6172">
              <w:rPr>
                <w:b/>
                <w:bCs/>
              </w:rPr>
              <w:t>5</w:t>
            </w:r>
            <w:r>
              <w:t xml:space="preserve"> </w:t>
            </w:r>
            <w:r w:rsidRPr="006B7C36">
              <w:t>izrādes</w:t>
            </w:r>
          </w:p>
        </w:tc>
      </w:tr>
      <w:tr w:rsidR="00FB6172" w:rsidRPr="00CA5C04" w14:paraId="768C330D" w14:textId="77777777" w:rsidTr="0062798E">
        <w:trPr>
          <w:trHeight w:val="1243"/>
        </w:trPr>
        <w:tc>
          <w:tcPr>
            <w:tcW w:w="468" w:type="pct"/>
          </w:tcPr>
          <w:p w14:paraId="150926BD" w14:textId="434FE7F8" w:rsidR="00FB6172" w:rsidRPr="00CA5C04" w:rsidRDefault="00FB6172" w:rsidP="00996C86">
            <w:pPr>
              <w:jc w:val="center"/>
            </w:pPr>
            <w:r>
              <w:t>2.4.2.</w:t>
            </w:r>
          </w:p>
        </w:tc>
        <w:tc>
          <w:tcPr>
            <w:tcW w:w="1178" w:type="pct"/>
          </w:tcPr>
          <w:p w14:paraId="1B1FD9FC" w14:textId="77777777" w:rsidR="00FB6172" w:rsidRPr="000744EF" w:rsidRDefault="00FB6172" w:rsidP="00996C86">
            <w:r w:rsidRPr="000744EF">
              <w:t>Starptautiskās sadarbības projekti (kopražojumi, dalība starptautiskajās platformās, meistarklases u.c.)</w:t>
            </w:r>
          </w:p>
        </w:tc>
        <w:tc>
          <w:tcPr>
            <w:tcW w:w="1730" w:type="pct"/>
          </w:tcPr>
          <w:p w14:paraId="2FFA4A4D" w14:textId="5D11777E" w:rsidR="00FB6172" w:rsidRPr="006B7C36" w:rsidRDefault="00FB6172" w:rsidP="00996C86">
            <w:r w:rsidRPr="006B7C36">
              <w:t xml:space="preserve">Ne mazāk kā </w:t>
            </w:r>
            <w:r w:rsidRPr="00054893">
              <w:rPr>
                <w:b/>
                <w:bCs/>
              </w:rPr>
              <w:t>1</w:t>
            </w:r>
            <w:r w:rsidRPr="000744EF">
              <w:t xml:space="preserve"> </w:t>
            </w:r>
            <w:r>
              <w:t>s</w:t>
            </w:r>
            <w:r w:rsidRPr="000744EF">
              <w:t>tarptautiskās sadarbības projekti</w:t>
            </w:r>
          </w:p>
        </w:tc>
        <w:tc>
          <w:tcPr>
            <w:tcW w:w="1623" w:type="pct"/>
          </w:tcPr>
          <w:p w14:paraId="39A1281A" w14:textId="27DB5076" w:rsidR="00FB6172" w:rsidRDefault="00FB6172" w:rsidP="00ED010C">
            <w:pPr>
              <w:jc w:val="left"/>
            </w:pPr>
            <w:r>
              <w:rPr>
                <w:b/>
                <w:bCs/>
              </w:rPr>
              <w:t xml:space="preserve">2 </w:t>
            </w:r>
            <w:r>
              <w:t>s</w:t>
            </w:r>
            <w:r w:rsidRPr="000744EF">
              <w:t>tarptautiskās sadarbības projekti</w:t>
            </w:r>
          </w:p>
        </w:tc>
      </w:tr>
    </w:tbl>
    <w:p w14:paraId="595841DA" w14:textId="77777777" w:rsidR="00F91FFF" w:rsidRDefault="00F91FFF" w:rsidP="00F91FFF"/>
    <w:p w14:paraId="29E325DB" w14:textId="77777777" w:rsidR="00F91FFF" w:rsidRDefault="00F91FFF" w:rsidP="00F91FFF"/>
    <w:p w14:paraId="0A301E59" w14:textId="77777777" w:rsidR="00F91FFF" w:rsidRDefault="00F91FFF" w:rsidP="00F91FFF"/>
    <w:p w14:paraId="7309035C" w14:textId="4B79D14E" w:rsidR="00F91FFF" w:rsidRDefault="00054893" w:rsidP="00F91FFF">
      <w:r>
        <w:t>2.</w:t>
      </w:r>
      <w:r w:rsidR="00F91FFF" w:rsidRPr="00CA5C04">
        <w:t xml:space="preserve">5. </w:t>
      </w:r>
      <w:r w:rsidR="00F91FFF" w:rsidRPr="00FB0CE0">
        <w:t xml:space="preserve">TEĀTRA </w:t>
      </w:r>
      <w:r w:rsidR="00F91FFF" w:rsidRPr="00F756E7">
        <w:t xml:space="preserve">finanšu, tehniskās un tehnoloģiskās darbības </w:t>
      </w:r>
      <w:r w:rsidR="00F91FFF" w:rsidRPr="004B1160">
        <w:t>efektivitāte un ilgtspēja</w:t>
      </w:r>
      <w:r w:rsidR="00F91FFF" w:rsidRPr="00FB0CE0">
        <w:t>:</w:t>
      </w:r>
      <w:r w:rsidR="00F91FFF" w:rsidRPr="00CA5C04">
        <w:t xml:space="preserve"> </w:t>
      </w:r>
    </w:p>
    <w:p w14:paraId="2CAE6CE6" w14:textId="77777777" w:rsidR="003C3737" w:rsidRDefault="003C3737" w:rsidP="003C3737"/>
    <w:tbl>
      <w:tblPr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127"/>
        <w:gridCol w:w="3119"/>
        <w:gridCol w:w="2976"/>
      </w:tblGrid>
      <w:tr w:rsidR="00FB6172" w:rsidRPr="00CA5C04" w14:paraId="7FAEF860" w14:textId="77777777" w:rsidTr="0062798E">
        <w:trPr>
          <w:trHeight w:val="439"/>
        </w:trPr>
        <w:tc>
          <w:tcPr>
            <w:tcW w:w="466" w:type="pct"/>
            <w:vAlign w:val="center"/>
          </w:tcPr>
          <w:p w14:paraId="3A946C93" w14:textId="77777777" w:rsidR="00FB6172" w:rsidRDefault="00FB6172" w:rsidP="00996C86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1173" w:type="pct"/>
            <w:vAlign w:val="center"/>
          </w:tcPr>
          <w:p w14:paraId="6B162601" w14:textId="77777777" w:rsidR="00FB6172" w:rsidRDefault="00FB6172" w:rsidP="00996C86">
            <w:pPr>
              <w:jc w:val="center"/>
            </w:pPr>
            <w:r w:rsidRPr="00CA5C04">
              <w:rPr>
                <w:b/>
              </w:rPr>
              <w:t>Rezultatīvais rādītājs</w:t>
            </w:r>
          </w:p>
        </w:tc>
        <w:tc>
          <w:tcPr>
            <w:tcW w:w="1720" w:type="pct"/>
            <w:vAlign w:val="center"/>
          </w:tcPr>
          <w:p w14:paraId="4BBCF610" w14:textId="77777777" w:rsidR="00FB6172" w:rsidRPr="00CA5C04" w:rsidRDefault="00FB6172" w:rsidP="00996C86">
            <w:pPr>
              <w:jc w:val="center"/>
              <w:rPr>
                <w:b/>
              </w:rPr>
            </w:pPr>
            <w:r w:rsidRPr="00CA5C04">
              <w:rPr>
                <w:b/>
              </w:rPr>
              <w:t>Plāns</w:t>
            </w:r>
          </w:p>
        </w:tc>
        <w:tc>
          <w:tcPr>
            <w:tcW w:w="1641" w:type="pct"/>
            <w:vAlign w:val="center"/>
          </w:tcPr>
          <w:p w14:paraId="3871C568" w14:textId="1ED04F05" w:rsidR="00FB6172" w:rsidRDefault="00FB6172" w:rsidP="00996C86">
            <w:pPr>
              <w:jc w:val="center"/>
            </w:pPr>
            <w:r w:rsidRPr="00CA5C04">
              <w:rPr>
                <w:b/>
              </w:rPr>
              <w:t>Izpilde</w:t>
            </w:r>
            <w:r>
              <w:rPr>
                <w:b/>
              </w:rPr>
              <w:t xml:space="preserve"> 12 mēnešos</w:t>
            </w:r>
          </w:p>
        </w:tc>
      </w:tr>
      <w:tr w:rsidR="00FB6172" w:rsidRPr="00CA5C04" w14:paraId="064D3BF7" w14:textId="77777777" w:rsidTr="0062798E">
        <w:trPr>
          <w:trHeight w:val="2664"/>
        </w:trPr>
        <w:tc>
          <w:tcPr>
            <w:tcW w:w="466" w:type="pct"/>
          </w:tcPr>
          <w:p w14:paraId="767B73A8" w14:textId="3868EB26" w:rsidR="00FB6172" w:rsidRDefault="00FB6172" w:rsidP="00996C86">
            <w:pPr>
              <w:jc w:val="center"/>
              <w:rPr>
                <w:i/>
                <w:iCs/>
                <w:color w:val="404040" w:themeColor="text1" w:themeTint="BF"/>
                <w:sz w:val="20"/>
              </w:rPr>
            </w:pPr>
            <w:r>
              <w:t>2.</w:t>
            </w:r>
            <w:r w:rsidRPr="00CA5C04">
              <w:t>5.</w:t>
            </w:r>
            <w:r>
              <w:t>1</w:t>
            </w:r>
            <w:r w:rsidRPr="00CA5C04">
              <w:t>.</w:t>
            </w:r>
          </w:p>
        </w:tc>
        <w:tc>
          <w:tcPr>
            <w:tcW w:w="1173" w:type="pct"/>
          </w:tcPr>
          <w:p w14:paraId="7910ECBD" w14:textId="77777777" w:rsidR="00FB6172" w:rsidRDefault="00FB6172" w:rsidP="00996C86">
            <w:r w:rsidRPr="009C2C9D">
              <w:t>TEĀTRA pašu ieņēmumi (biļešu realizācija un pārējie pašu ieņēmumi)</w:t>
            </w:r>
          </w:p>
        </w:tc>
        <w:tc>
          <w:tcPr>
            <w:tcW w:w="1720" w:type="pct"/>
          </w:tcPr>
          <w:p w14:paraId="1957007B" w14:textId="77777777" w:rsidR="00FB6172" w:rsidRPr="00054893" w:rsidRDefault="00FB6172" w:rsidP="00996C86">
            <w:r w:rsidRPr="00054893">
              <w:t xml:space="preserve">Plānoto pašu ieņēmumu struktūra, </w:t>
            </w:r>
            <w:r w:rsidRPr="00054893">
              <w:rPr>
                <w:i/>
              </w:rPr>
              <w:t>euro</w:t>
            </w:r>
            <w:r w:rsidRPr="00054893">
              <w:t>:</w:t>
            </w:r>
          </w:p>
          <w:tbl>
            <w:tblPr>
              <w:tblW w:w="4035" w:type="dxa"/>
              <w:tblLayout w:type="fixed"/>
              <w:tblLook w:val="0000" w:firstRow="0" w:lastRow="0" w:firstColumn="0" w:lastColumn="0" w:noHBand="0" w:noVBand="0"/>
            </w:tblPr>
            <w:tblGrid>
              <w:gridCol w:w="1583"/>
              <w:gridCol w:w="2452"/>
            </w:tblGrid>
            <w:tr w:rsidR="00FB6172" w:rsidRPr="00054893" w14:paraId="69AE70E0" w14:textId="77777777" w:rsidTr="0062798E">
              <w:trPr>
                <w:trHeight w:val="255"/>
              </w:trPr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A1EDD" w14:textId="77777777" w:rsidR="00FB6172" w:rsidRPr="00054893" w:rsidRDefault="00FB6172" w:rsidP="00996C86">
                  <w:r w:rsidRPr="00054893">
                    <w:t>Pašu ieņēmumi</w:t>
                  </w:r>
                </w:p>
              </w:tc>
              <w:tc>
                <w:tcPr>
                  <w:tcW w:w="2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3ED642" w14:textId="2F8C03F2" w:rsidR="00FB6172" w:rsidRPr="00054893" w:rsidRDefault="00FB6172" w:rsidP="00996C86">
                  <w:r w:rsidRPr="00054893">
                    <w:rPr>
                      <w:b/>
                      <w:bCs/>
                    </w:rPr>
                    <w:t>810000,</w:t>
                  </w:r>
                  <w:r w:rsidRPr="00054893">
                    <w:t>00</w:t>
                  </w:r>
                </w:p>
              </w:tc>
            </w:tr>
            <w:tr w:rsidR="00FB6172" w:rsidRPr="00054893" w14:paraId="2F0E3114" w14:textId="77777777" w:rsidTr="0062798E">
              <w:trPr>
                <w:trHeight w:val="343"/>
              </w:trPr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D257A" w14:textId="77777777" w:rsidR="00FB6172" w:rsidRPr="00054893" w:rsidRDefault="00FB6172" w:rsidP="00996C86">
                  <w:pPr>
                    <w:rPr>
                      <w:i/>
                    </w:rPr>
                  </w:pPr>
                  <w:r w:rsidRPr="00054893">
                    <w:rPr>
                      <w:i/>
                    </w:rPr>
                    <w:t>Tajā skaitā:</w:t>
                  </w:r>
                </w:p>
              </w:tc>
              <w:tc>
                <w:tcPr>
                  <w:tcW w:w="2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03ACF0" w14:textId="77777777" w:rsidR="00FB6172" w:rsidRPr="00054893" w:rsidRDefault="00FB6172" w:rsidP="00996C86"/>
              </w:tc>
            </w:tr>
            <w:tr w:rsidR="00FB6172" w:rsidRPr="00054893" w14:paraId="7036591A" w14:textId="77777777" w:rsidTr="0062798E">
              <w:trPr>
                <w:trHeight w:val="255"/>
              </w:trPr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DA774" w14:textId="77777777" w:rsidR="00FB6172" w:rsidRPr="00054893" w:rsidRDefault="00FB6172" w:rsidP="00996C86">
                  <w:r w:rsidRPr="00054893">
                    <w:t xml:space="preserve">Biļešu realizācija </w:t>
                  </w:r>
                </w:p>
              </w:tc>
              <w:tc>
                <w:tcPr>
                  <w:tcW w:w="2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8DE927" w14:textId="2739A157" w:rsidR="00FB6172" w:rsidRPr="00054893" w:rsidRDefault="00FB6172" w:rsidP="00996C86">
                  <w:r w:rsidRPr="00054893">
                    <w:t>790000,00</w:t>
                  </w:r>
                </w:p>
              </w:tc>
            </w:tr>
            <w:tr w:rsidR="00FB6172" w:rsidRPr="00054893" w14:paraId="263B0423" w14:textId="77777777" w:rsidTr="0062798E">
              <w:trPr>
                <w:trHeight w:val="559"/>
              </w:trPr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0535C6" w14:textId="77777777" w:rsidR="00FB6172" w:rsidRPr="00054893" w:rsidRDefault="00FB6172" w:rsidP="00996C86">
                  <w:r w:rsidRPr="00054893">
                    <w:t xml:space="preserve">Pārējie pašu ieņēmumi </w:t>
                  </w:r>
                </w:p>
              </w:tc>
              <w:tc>
                <w:tcPr>
                  <w:tcW w:w="2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ECEC89" w14:textId="541ED8E0" w:rsidR="00FB6172" w:rsidRPr="00054893" w:rsidRDefault="00FB6172" w:rsidP="00996C86">
                  <w:r>
                    <w:t>20000, 0</w:t>
                  </w:r>
                  <w:r w:rsidR="00BA1FCE">
                    <w:t>0</w:t>
                  </w:r>
                </w:p>
              </w:tc>
            </w:tr>
          </w:tbl>
          <w:p w14:paraId="411A6751" w14:textId="77777777" w:rsidR="00FB6172" w:rsidRPr="00054893" w:rsidRDefault="00FB6172" w:rsidP="00996C86"/>
        </w:tc>
        <w:tc>
          <w:tcPr>
            <w:tcW w:w="1641" w:type="pct"/>
          </w:tcPr>
          <w:p w14:paraId="7243C9B4" w14:textId="77777777" w:rsidR="00FB6172" w:rsidRDefault="00FB6172" w:rsidP="00996C86">
            <w:r w:rsidRPr="006B7C36">
              <w:t xml:space="preserve">Plānoto </w:t>
            </w:r>
            <w:r>
              <w:t xml:space="preserve">pašu </w:t>
            </w:r>
            <w:r w:rsidRPr="006B7C36">
              <w:t>ieņēmumu struktūra</w:t>
            </w:r>
            <w:r>
              <w:t xml:space="preserve">, </w:t>
            </w:r>
            <w:r w:rsidRPr="006B7C36">
              <w:rPr>
                <w:i/>
              </w:rPr>
              <w:t>euro</w:t>
            </w:r>
            <w:r>
              <w:t>:</w:t>
            </w:r>
          </w:p>
          <w:tbl>
            <w:tblPr>
              <w:tblW w:w="4035" w:type="dxa"/>
              <w:tblLayout w:type="fixed"/>
              <w:tblLook w:val="0000" w:firstRow="0" w:lastRow="0" w:firstColumn="0" w:lastColumn="0" w:noHBand="0" w:noVBand="0"/>
            </w:tblPr>
            <w:tblGrid>
              <w:gridCol w:w="1582"/>
              <w:gridCol w:w="2453"/>
            </w:tblGrid>
            <w:tr w:rsidR="00FB6172" w:rsidRPr="00CA5C04" w14:paraId="6C6C6C8B" w14:textId="77777777" w:rsidTr="0062798E">
              <w:trPr>
                <w:trHeight w:val="255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DFE5F" w14:textId="77777777" w:rsidR="00FB6172" w:rsidRDefault="00FB6172" w:rsidP="00996C86">
                  <w:r w:rsidRPr="006B7C36">
                    <w:t>Pašu ieņēmumi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343F48" w14:textId="56E146C6" w:rsidR="00FB6172" w:rsidRPr="00C72CF7" w:rsidRDefault="00FB6172" w:rsidP="00996C8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9799</w:t>
                  </w:r>
                  <w:r w:rsidR="006E7763">
                    <w:rPr>
                      <w:b/>
                      <w:bCs/>
                    </w:rPr>
                    <w:t>09</w:t>
                  </w:r>
                  <w:r w:rsidR="003943FB">
                    <w:rPr>
                      <w:b/>
                      <w:bCs/>
                    </w:rPr>
                    <w:t>,68</w:t>
                  </w:r>
                </w:p>
              </w:tc>
            </w:tr>
            <w:tr w:rsidR="00FB6172" w:rsidRPr="00CA5C04" w14:paraId="69B85EDF" w14:textId="77777777" w:rsidTr="0062798E">
              <w:trPr>
                <w:trHeight w:val="343"/>
              </w:trPr>
              <w:tc>
                <w:tcPr>
                  <w:tcW w:w="1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8D03F7" w14:textId="77777777" w:rsidR="00FB6172" w:rsidRPr="00FB0CE0" w:rsidRDefault="00FB6172" w:rsidP="00996C86">
                  <w:pPr>
                    <w:rPr>
                      <w:i/>
                    </w:rPr>
                  </w:pPr>
                  <w:r w:rsidRPr="00FB0CE0">
                    <w:rPr>
                      <w:i/>
                    </w:rPr>
                    <w:t>Tajā skaitā: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DDCAC3" w14:textId="77777777" w:rsidR="00FB6172" w:rsidRDefault="00FB6172" w:rsidP="00996C86"/>
              </w:tc>
            </w:tr>
            <w:tr w:rsidR="00FB6172" w:rsidRPr="00CA5C04" w14:paraId="159A47FF" w14:textId="77777777" w:rsidTr="0062798E">
              <w:trPr>
                <w:trHeight w:val="255"/>
              </w:trPr>
              <w:tc>
                <w:tcPr>
                  <w:tcW w:w="1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C8E84" w14:textId="77777777" w:rsidR="00FB6172" w:rsidRDefault="00FB6172" w:rsidP="00996C86">
                  <w:r w:rsidRPr="006B7C36">
                    <w:t>Biļešu realizācija</w:t>
                  </w:r>
                  <w:r>
                    <w:t xml:space="preserve"> 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4414F" w14:textId="294FADD4" w:rsidR="00FB6172" w:rsidRPr="00C72CF7" w:rsidRDefault="006E7763" w:rsidP="00996C8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961633</w:t>
                  </w:r>
                  <w:r w:rsidR="003943FB">
                    <w:rPr>
                      <w:b/>
                      <w:bCs/>
                    </w:rPr>
                    <w:t>,10</w:t>
                  </w:r>
                </w:p>
              </w:tc>
            </w:tr>
            <w:tr w:rsidR="00FB6172" w:rsidRPr="00CA5C04" w14:paraId="3B73604B" w14:textId="77777777" w:rsidTr="0062798E">
              <w:trPr>
                <w:trHeight w:val="559"/>
              </w:trPr>
              <w:tc>
                <w:tcPr>
                  <w:tcW w:w="1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8C260" w14:textId="77777777" w:rsidR="00FB6172" w:rsidRDefault="00FB6172" w:rsidP="00996C86">
                  <w:r>
                    <w:t xml:space="preserve">Pārējie pašu ieņēmumi 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D5B451" w14:textId="49FB9117" w:rsidR="00FB6172" w:rsidRPr="00C72CF7" w:rsidRDefault="006E7763" w:rsidP="00996C8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18276</w:t>
                  </w:r>
                  <w:r w:rsidR="003943FB">
                    <w:rPr>
                      <w:b/>
                      <w:bCs/>
                    </w:rPr>
                    <w:t>,58</w:t>
                  </w:r>
                </w:p>
              </w:tc>
            </w:tr>
          </w:tbl>
          <w:p w14:paraId="6E99332D" w14:textId="0E5C521D" w:rsidR="00FB6172" w:rsidRDefault="00FB6172" w:rsidP="00996C86"/>
        </w:tc>
      </w:tr>
      <w:tr w:rsidR="0062798E" w:rsidRPr="00CA5C04" w14:paraId="4E289227" w14:textId="77777777" w:rsidTr="0062798E">
        <w:trPr>
          <w:trHeight w:val="571"/>
        </w:trPr>
        <w:tc>
          <w:tcPr>
            <w:tcW w:w="466" w:type="pct"/>
          </w:tcPr>
          <w:p w14:paraId="5C021486" w14:textId="5C46BF06" w:rsidR="0062798E" w:rsidRPr="004B7848" w:rsidRDefault="0062798E" w:rsidP="00996C86">
            <w:pPr>
              <w:jc w:val="center"/>
              <w:rPr>
                <w:i/>
                <w:iCs/>
                <w:color w:val="404040" w:themeColor="text1" w:themeTint="BF"/>
                <w:sz w:val="20"/>
              </w:rPr>
            </w:pPr>
            <w:r>
              <w:t>2.5.2</w:t>
            </w:r>
            <w:r w:rsidRPr="004B7848">
              <w:t>.</w:t>
            </w:r>
          </w:p>
        </w:tc>
        <w:tc>
          <w:tcPr>
            <w:tcW w:w="1173" w:type="pct"/>
          </w:tcPr>
          <w:p w14:paraId="56DA2F72" w14:textId="77777777" w:rsidR="0062798E" w:rsidRPr="004B7848" w:rsidRDefault="0062798E" w:rsidP="00996C86">
            <w:r w:rsidRPr="004B7848">
              <w:t>Pašu ieņēmumu īpatsvars kopējos ieņēmumos</w:t>
            </w:r>
          </w:p>
        </w:tc>
        <w:tc>
          <w:tcPr>
            <w:tcW w:w="1720" w:type="pct"/>
          </w:tcPr>
          <w:p w14:paraId="0B5B0F4B" w14:textId="4EF0E201" w:rsidR="0062798E" w:rsidRPr="00437CAD" w:rsidRDefault="0062798E" w:rsidP="00996C86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437CAD">
              <w:rPr>
                <w:b/>
                <w:bCs/>
              </w:rPr>
              <w:t>%</w:t>
            </w:r>
          </w:p>
        </w:tc>
        <w:tc>
          <w:tcPr>
            <w:tcW w:w="1641" w:type="pct"/>
          </w:tcPr>
          <w:p w14:paraId="584E47E2" w14:textId="289C6F50" w:rsidR="0062798E" w:rsidRPr="00437CAD" w:rsidRDefault="0062798E" w:rsidP="00996C86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Pr="00437CAD">
              <w:rPr>
                <w:b/>
                <w:bCs/>
              </w:rPr>
              <w:t>%</w:t>
            </w:r>
          </w:p>
        </w:tc>
      </w:tr>
      <w:tr w:rsidR="0062798E" w:rsidRPr="00CA5C04" w14:paraId="531B6B2D" w14:textId="77777777" w:rsidTr="0062798E">
        <w:trPr>
          <w:trHeight w:val="566"/>
        </w:trPr>
        <w:tc>
          <w:tcPr>
            <w:tcW w:w="466" w:type="pct"/>
          </w:tcPr>
          <w:p w14:paraId="057BAEF9" w14:textId="2C402FBE" w:rsidR="0062798E" w:rsidRPr="004B7848" w:rsidRDefault="0062798E" w:rsidP="00996C86">
            <w:pPr>
              <w:jc w:val="center"/>
              <w:rPr>
                <w:i/>
                <w:iCs/>
                <w:color w:val="404040" w:themeColor="text1" w:themeTint="BF"/>
                <w:sz w:val="20"/>
              </w:rPr>
            </w:pPr>
            <w:r>
              <w:t>2.5.3</w:t>
            </w:r>
            <w:r w:rsidRPr="004B7848">
              <w:t>.</w:t>
            </w:r>
          </w:p>
        </w:tc>
        <w:tc>
          <w:tcPr>
            <w:tcW w:w="1173" w:type="pct"/>
          </w:tcPr>
          <w:p w14:paraId="74F440E6" w14:textId="77777777" w:rsidR="0062798E" w:rsidRPr="004B7848" w:rsidRDefault="0062798E" w:rsidP="00996C86">
            <w:r w:rsidRPr="004B7848">
              <w:t>Pašu ieņēmumu īpatsvars pret kopējiem izdevumiem</w:t>
            </w:r>
          </w:p>
        </w:tc>
        <w:tc>
          <w:tcPr>
            <w:tcW w:w="1720" w:type="pct"/>
          </w:tcPr>
          <w:p w14:paraId="596AAB78" w14:textId="5D97D892" w:rsidR="0062798E" w:rsidRPr="00437CAD" w:rsidRDefault="0062798E" w:rsidP="00996C86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437CAD">
              <w:rPr>
                <w:b/>
                <w:bCs/>
              </w:rPr>
              <w:t>%</w:t>
            </w:r>
          </w:p>
        </w:tc>
        <w:tc>
          <w:tcPr>
            <w:tcW w:w="1641" w:type="pct"/>
          </w:tcPr>
          <w:p w14:paraId="12EE1800" w14:textId="388DE4FD" w:rsidR="0062798E" w:rsidRPr="00437CAD" w:rsidRDefault="0062798E" w:rsidP="00996C86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3C3737">
              <w:rPr>
                <w:b/>
                <w:bCs/>
              </w:rPr>
              <w:t>%</w:t>
            </w:r>
          </w:p>
        </w:tc>
      </w:tr>
      <w:tr w:rsidR="0062798E" w:rsidRPr="002266DF" w14:paraId="32E2A68B" w14:textId="77777777" w:rsidTr="0040419E">
        <w:trPr>
          <w:trHeight w:val="5519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7982" w14:textId="77777777" w:rsidR="0062798E" w:rsidRDefault="0062798E" w:rsidP="00996C86">
            <w:pPr>
              <w:jc w:val="center"/>
              <w:rPr>
                <w:i/>
                <w:iCs/>
                <w:color w:val="404040" w:themeColor="text1" w:themeTint="BF"/>
                <w:sz w:val="20"/>
              </w:rPr>
            </w:pPr>
            <w:r w:rsidRPr="006D6CBC">
              <w:t>5.4.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A1A" w14:textId="77777777" w:rsidR="0062798E" w:rsidRPr="006D6CBC" w:rsidRDefault="0062798E" w:rsidP="00996C86">
            <w:r w:rsidRPr="006D6CBC">
              <w:t xml:space="preserve">Ieguldījumi tehniskās un tehnoloģiskās darbības ilgtspējas nodrošināšanā, tai skaitā mākslinieciskai darbībai nepieciešamās infrastruktūras uzturēšanā un attīstīšanā un mākslinieciski tehniskās bāzes pilnveidošanā (skaņu tehnikas, gaismu tehnikas, </w:t>
            </w:r>
            <w:proofErr w:type="gramStart"/>
            <w:r w:rsidRPr="006D6CBC">
              <w:t>video tehnikas</w:t>
            </w:r>
            <w:proofErr w:type="gramEnd"/>
            <w:r w:rsidRPr="006D6CBC">
              <w:t>, skatuves tehnoloģiju u.c. atjaunošanā)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42D" w14:textId="263A6720" w:rsidR="0062798E" w:rsidRPr="006D6CBC" w:rsidRDefault="0062798E" w:rsidP="00996C86">
            <w:r w:rsidRPr="006D6CBC">
              <w:t>Plānots tehniskās un tehnoloģiskās darbības ilgtspējas nodrošināšanā ieguldīt</w:t>
            </w:r>
            <w:r>
              <w:t xml:space="preserve"> </w:t>
            </w:r>
            <w:r>
              <w:rPr>
                <w:b/>
                <w:bCs/>
              </w:rPr>
              <w:t>67</w:t>
            </w:r>
            <w:r w:rsidRPr="00437CAD">
              <w:rPr>
                <w:b/>
                <w:bCs/>
              </w:rPr>
              <w:t xml:space="preserve"> 000</w:t>
            </w:r>
            <w:r w:rsidRPr="006D6CBC">
              <w:t xml:space="preserve"> </w:t>
            </w:r>
            <w:r w:rsidRPr="006D6CBC">
              <w:rPr>
                <w:i/>
              </w:rPr>
              <w:t>euro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A95" w14:textId="73B352DB" w:rsidR="0062798E" w:rsidRDefault="0062798E" w:rsidP="00996C86">
            <w:pPr>
              <w:rPr>
                <w:i/>
              </w:rPr>
            </w:pPr>
            <w:r>
              <w:t>T</w:t>
            </w:r>
            <w:r w:rsidRPr="006D6CBC">
              <w:t>ehniskās un tehnoloģiskās darbības ilgtspējas nodrošināšanā ieguldīt</w:t>
            </w:r>
            <w:r>
              <w:t xml:space="preserve">i </w:t>
            </w:r>
            <w:r w:rsidR="0040419E">
              <w:rPr>
                <w:b/>
                <w:bCs/>
              </w:rPr>
              <w:t>67933.91</w:t>
            </w:r>
            <w:r w:rsidRPr="006D6CBC">
              <w:t xml:space="preserve"> </w:t>
            </w:r>
            <w:r w:rsidRPr="006D6CBC">
              <w:rPr>
                <w:i/>
              </w:rPr>
              <w:t>euro</w:t>
            </w:r>
            <w:r>
              <w:rPr>
                <w:i/>
              </w:rPr>
              <w:t xml:space="preserve"> t.sk.:</w:t>
            </w:r>
          </w:p>
          <w:p w14:paraId="5C37E3E7" w14:textId="77777777" w:rsidR="0062798E" w:rsidRPr="00103AA2" w:rsidRDefault="0062798E" w:rsidP="00306295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>LED gaismas kastes</w:t>
            </w:r>
            <w:r>
              <w:rPr>
                <w:i/>
                <w:iCs/>
                <w:sz w:val="20"/>
                <w:szCs w:val="20"/>
              </w:rPr>
              <w:t xml:space="preserve">(2 </w:t>
            </w:r>
            <w:proofErr w:type="spellStart"/>
            <w:r>
              <w:rPr>
                <w:i/>
                <w:iCs/>
                <w:sz w:val="20"/>
                <w:szCs w:val="20"/>
              </w:rPr>
              <w:t>gab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  <w:r w:rsidRPr="00103AA2">
              <w:rPr>
                <w:i/>
                <w:iCs/>
                <w:sz w:val="20"/>
                <w:szCs w:val="20"/>
              </w:rPr>
              <w:t xml:space="preserve"> -2037.64 eiro, TV ekrāns Samsung -1210 eiro, plaukti ar riteņiem</w:t>
            </w:r>
            <w:r>
              <w:rPr>
                <w:i/>
                <w:iCs/>
                <w:sz w:val="20"/>
                <w:szCs w:val="20"/>
              </w:rPr>
              <w:t xml:space="preserve"> (7 </w:t>
            </w:r>
            <w:proofErr w:type="spellStart"/>
            <w:r>
              <w:rPr>
                <w:i/>
                <w:iCs/>
                <w:sz w:val="20"/>
                <w:szCs w:val="20"/>
              </w:rPr>
              <w:t>gab)</w:t>
            </w:r>
            <w:r w:rsidRPr="00103AA2">
              <w:rPr>
                <w:i/>
                <w:iCs/>
                <w:sz w:val="20"/>
                <w:szCs w:val="20"/>
              </w:rPr>
              <w:t>-4544.54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eiro, </w:t>
            </w:r>
          </w:p>
          <w:p w14:paraId="672F0396" w14:textId="77777777" w:rsidR="0062798E" w:rsidRPr="00103AA2" w:rsidRDefault="0062798E" w:rsidP="00306295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dators portatīvais DELL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Vos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+ Microsoft Windows- 682.62 eiro, </w:t>
            </w:r>
          </w:p>
          <w:p w14:paraId="11A97633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Licence Microsoft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Office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Professional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Plus 2021 ESD</w:t>
            </w:r>
          </w:p>
          <w:p w14:paraId="2D283ACD" w14:textId="77777777" w:rsidR="0062798E" w:rsidRPr="00103AA2" w:rsidRDefault="0062798E" w:rsidP="00306295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-228.45 eiro, </w:t>
            </w:r>
          </w:p>
          <w:p w14:paraId="7B648DC1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>Skaņas karte kamerzālei (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Fecusrite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Clarett+8Pre)</w:t>
            </w:r>
          </w:p>
          <w:p w14:paraId="5B9F29A9" w14:textId="77777777" w:rsidR="0062798E" w:rsidRPr="00103AA2" w:rsidRDefault="0062798E" w:rsidP="00306295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-642.15 eiro, </w:t>
            </w:r>
          </w:p>
          <w:p w14:paraId="040E1EAD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Dators stacionārs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Dateks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AMD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Ryzen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7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Creative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>+ Windows 11Pro-</w:t>
            </w:r>
          </w:p>
          <w:p w14:paraId="2CBB8401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1580.89 eiro, datori portatīvie -2056.85 eiro, </w:t>
            </w:r>
          </w:p>
          <w:p w14:paraId="30C3D3D6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Licences Microsoft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Office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Professional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Plus 2021 ESD – 456.90 eiro, dators stacionārs +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Mikrosoft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Office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programma-737.87 eiro, </w:t>
            </w:r>
          </w:p>
          <w:p w14:paraId="63A2786E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Vājdzirdīgā un sinhronā tulkošanas sistēmas iekārta – 14461.21 eiro, </w:t>
            </w:r>
          </w:p>
          <w:p w14:paraId="6AF2FCEF" w14:textId="77777777" w:rsidR="0062798E" w:rsidRPr="00103AA2" w:rsidRDefault="0062798E" w:rsidP="00DD0009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Gludināšanas sistēma LAURASTAR SMART I-1499 eiro, gaisa kondicionieri (3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gab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) – 11461.21 eiro, </w:t>
            </w:r>
          </w:p>
          <w:p w14:paraId="06DE4906" w14:textId="77777777" w:rsidR="0062798E" w:rsidRPr="00103AA2" w:rsidRDefault="0062798E" w:rsidP="00523C6F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Planšetdators Apple iPad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Pro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13, aksesuāri-2156.05 eiro, zīmēšanas </w:t>
            </w:r>
            <w:r w:rsidRPr="00103AA2">
              <w:rPr>
                <w:i/>
                <w:iCs/>
                <w:sz w:val="20"/>
                <w:szCs w:val="20"/>
              </w:rPr>
              <w:lastRenderedPageBreak/>
              <w:t xml:space="preserve">planšete WACOM-549.99 eiro,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zāgis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galda</w:t>
            </w:r>
            <w:proofErr w:type="gramStart"/>
            <w:r w:rsidRPr="00103AA2">
              <w:rPr>
                <w:i/>
                <w:iCs/>
                <w:sz w:val="20"/>
                <w:szCs w:val="20"/>
              </w:rPr>
              <w:t xml:space="preserve">  </w:t>
            </w:r>
            <w:proofErr w:type="gramEnd"/>
            <w:r w:rsidRPr="00103AA2">
              <w:rPr>
                <w:i/>
                <w:iCs/>
                <w:sz w:val="20"/>
                <w:szCs w:val="20"/>
              </w:rPr>
              <w:t xml:space="preserve">-1204.66 eiro, </w:t>
            </w:r>
          </w:p>
          <w:p w14:paraId="18A429BF" w14:textId="77777777" w:rsidR="0062798E" w:rsidRPr="00103AA2" w:rsidRDefault="0062798E" w:rsidP="00523C6F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Podesti saliekami, trepes (komplekts 5gb podesti, 1gb trepes)-6857.53 eiro, </w:t>
            </w:r>
          </w:p>
          <w:p w14:paraId="6CE2518F" w14:textId="77777777" w:rsidR="0062798E" w:rsidRPr="00103AA2" w:rsidRDefault="0062798E" w:rsidP="00523C6F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Cs w:val="22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Viedtelefons Apple iPhone 16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ProMax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512GB (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Black</w:t>
            </w:r>
            <w:proofErr w:type="spellEnd"/>
            <w:r w:rsidRPr="00103AA2">
              <w:rPr>
                <w:i/>
                <w:iCs/>
                <w:szCs w:val="22"/>
              </w:rPr>
              <w:t xml:space="preserve"> </w:t>
            </w:r>
            <w:proofErr w:type="spellStart"/>
            <w:r w:rsidRPr="00103AA2">
              <w:rPr>
                <w:i/>
                <w:iCs/>
                <w:szCs w:val="22"/>
              </w:rPr>
              <w:t>Titanium).-1327.27</w:t>
            </w:r>
            <w:proofErr w:type="spellEnd"/>
            <w:r w:rsidRPr="00103AA2">
              <w:rPr>
                <w:i/>
                <w:iCs/>
                <w:szCs w:val="22"/>
              </w:rPr>
              <w:t xml:space="preserve"> eiro, </w:t>
            </w:r>
          </w:p>
          <w:p w14:paraId="415FDE99" w14:textId="77777777" w:rsidR="0062798E" w:rsidRPr="00103AA2" w:rsidRDefault="0062798E" w:rsidP="00523C6F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Defibrilators automātisks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BeneHeart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XA00002 C1A. Defibrilatora sienas kronšteins - 1282.60 eiro, </w:t>
            </w:r>
          </w:p>
          <w:p w14:paraId="15EB72F8" w14:textId="77777777" w:rsidR="0062798E" w:rsidRPr="00103AA2" w:rsidRDefault="0062798E" w:rsidP="00523C6F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03AA2">
              <w:rPr>
                <w:i/>
                <w:iCs/>
                <w:sz w:val="20"/>
                <w:szCs w:val="20"/>
              </w:rPr>
              <w:t xml:space="preserve">Telpiski burti LEĻĻU TEĀTRIS ar montāžu (K.Barona ielas pusē uz ēkas fasādes)- 933.64 eiro, </w:t>
            </w:r>
          </w:p>
          <w:p w14:paraId="01F3C107" w14:textId="77777777" w:rsidR="0040419E" w:rsidRPr="00103AA2" w:rsidRDefault="0062798E" w:rsidP="00306295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103AA2">
              <w:rPr>
                <w:i/>
                <w:iCs/>
                <w:sz w:val="20"/>
                <w:szCs w:val="20"/>
              </w:rPr>
              <w:t>Efektstarmetis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Robe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Robin T1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Profile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prifiltipa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intiliģētās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LED gaismas(2 </w:t>
            </w:r>
            <w:proofErr w:type="spellStart"/>
            <w:r w:rsidRPr="00103AA2">
              <w:rPr>
                <w:i/>
                <w:iCs/>
                <w:sz w:val="20"/>
                <w:szCs w:val="20"/>
              </w:rPr>
              <w:t>gab)-9994.60</w:t>
            </w:r>
            <w:proofErr w:type="spellEnd"/>
            <w:r w:rsidRPr="00103AA2">
              <w:rPr>
                <w:i/>
                <w:iCs/>
                <w:sz w:val="20"/>
                <w:szCs w:val="20"/>
              </w:rPr>
              <w:t xml:space="preserve"> eiro.</w:t>
            </w:r>
            <w:r w:rsidR="0040419E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5245A82F" w14:textId="77777777" w:rsidR="0040419E" w:rsidRPr="0040419E" w:rsidRDefault="0040419E" w:rsidP="0040419E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0419E">
              <w:rPr>
                <w:i/>
                <w:iCs/>
                <w:sz w:val="20"/>
                <w:szCs w:val="20"/>
              </w:rPr>
              <w:t xml:space="preserve">Barjeras stabs </w:t>
            </w:r>
            <w:proofErr w:type="spellStart"/>
            <w:r w:rsidRPr="0040419E">
              <w:rPr>
                <w:i/>
                <w:iCs/>
                <w:sz w:val="20"/>
                <w:szCs w:val="20"/>
              </w:rPr>
              <w:t>Royal</w:t>
            </w:r>
            <w:proofErr w:type="spellEnd"/>
            <w:r w:rsidRPr="0040419E">
              <w:rPr>
                <w:i/>
                <w:iCs/>
                <w:sz w:val="20"/>
                <w:szCs w:val="20"/>
              </w:rPr>
              <w:t xml:space="preserve"> 14gab. </w:t>
            </w:r>
            <w:proofErr w:type="spellStart"/>
            <w:r w:rsidRPr="0040419E">
              <w:rPr>
                <w:i/>
                <w:iCs/>
                <w:sz w:val="20"/>
                <w:szCs w:val="20"/>
              </w:rPr>
              <w:t>Baljeras</w:t>
            </w:r>
            <w:proofErr w:type="spellEnd"/>
            <w:r w:rsidRPr="0040419E">
              <w:rPr>
                <w:i/>
                <w:iCs/>
                <w:sz w:val="20"/>
                <w:szCs w:val="20"/>
              </w:rPr>
              <w:t xml:space="preserve"> staba virve </w:t>
            </w:r>
            <w:proofErr w:type="spellStart"/>
            <w:r w:rsidRPr="0040419E">
              <w:rPr>
                <w:i/>
                <w:iCs/>
                <w:sz w:val="20"/>
                <w:szCs w:val="20"/>
              </w:rPr>
              <w:t>Red</w:t>
            </w:r>
            <w:proofErr w:type="spellEnd"/>
            <w:r w:rsidRPr="0040419E">
              <w:rPr>
                <w:i/>
                <w:iCs/>
                <w:sz w:val="20"/>
                <w:szCs w:val="20"/>
              </w:rPr>
              <w:t xml:space="preserve"> 12gab.</w:t>
            </w:r>
            <w:r>
              <w:rPr>
                <w:i/>
                <w:iCs/>
                <w:sz w:val="20"/>
                <w:szCs w:val="20"/>
              </w:rPr>
              <w:t xml:space="preserve">-1204.56 eiro, </w:t>
            </w:r>
          </w:p>
          <w:p w14:paraId="55FF0153" w14:textId="3512D040" w:rsidR="0062798E" w:rsidRPr="0040419E" w:rsidRDefault="0040419E" w:rsidP="0040419E">
            <w:pPr>
              <w:widowControl/>
              <w:adjustRightInd/>
              <w:textAlignment w:val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0419E">
              <w:rPr>
                <w:i/>
                <w:iCs/>
                <w:sz w:val="20"/>
                <w:szCs w:val="20"/>
              </w:rPr>
              <w:t xml:space="preserve">Pistole pneimatiskā ar gaisa kompresoru biezu </w:t>
            </w:r>
            <w:proofErr w:type="spellStart"/>
            <w:r w:rsidRPr="0040419E">
              <w:rPr>
                <w:i/>
                <w:iCs/>
                <w:sz w:val="20"/>
                <w:szCs w:val="20"/>
              </w:rPr>
              <w:t>pakl</w:t>
            </w:r>
            <w:r>
              <w:rPr>
                <w:i/>
                <w:iCs/>
                <w:sz w:val="20"/>
                <w:szCs w:val="20"/>
              </w:rPr>
              <w:t>-1100.75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euro.</w:t>
            </w:r>
          </w:p>
        </w:tc>
      </w:tr>
    </w:tbl>
    <w:p w14:paraId="77B4C643" w14:textId="77777777" w:rsidR="00F91FFF" w:rsidRPr="00CA5C04" w:rsidRDefault="00F91FFF" w:rsidP="00F91FFF"/>
    <w:p w14:paraId="6D26F8FD" w14:textId="48AE36EE" w:rsidR="00F91FFF" w:rsidRDefault="00054893" w:rsidP="00F91FFF">
      <w:r>
        <w:t>2.</w:t>
      </w:r>
      <w:r w:rsidR="00F91FFF" w:rsidRPr="006B7C36">
        <w:t>6. Citi:</w:t>
      </w:r>
    </w:p>
    <w:p w14:paraId="0B2AFD78" w14:textId="77777777" w:rsidR="00F91FFF" w:rsidRDefault="00F91FFF" w:rsidP="00F91FFF"/>
    <w:tbl>
      <w:tblPr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110"/>
        <w:gridCol w:w="3136"/>
        <w:gridCol w:w="2976"/>
      </w:tblGrid>
      <w:tr w:rsidR="0062798E" w:rsidRPr="00CA5C04" w14:paraId="3C662264" w14:textId="77777777" w:rsidTr="0062798E">
        <w:trPr>
          <w:trHeight w:val="441"/>
        </w:trPr>
        <w:tc>
          <w:tcPr>
            <w:tcW w:w="466" w:type="pct"/>
          </w:tcPr>
          <w:p w14:paraId="17EE86DB" w14:textId="27921A2C" w:rsidR="0062798E" w:rsidRPr="006B7C36" w:rsidRDefault="0062798E" w:rsidP="00996C86">
            <w:pPr>
              <w:jc w:val="center"/>
            </w:pPr>
            <w:r>
              <w:t>2.6.1.</w:t>
            </w:r>
          </w:p>
        </w:tc>
        <w:tc>
          <w:tcPr>
            <w:tcW w:w="1163" w:type="pct"/>
          </w:tcPr>
          <w:p w14:paraId="34B8368F" w14:textId="77777777" w:rsidR="0062798E" w:rsidRDefault="0062798E" w:rsidP="00996C86">
            <w:r w:rsidRPr="006B7C36">
              <w:t>Vidējā biļešu cena gadā</w:t>
            </w:r>
          </w:p>
        </w:tc>
        <w:tc>
          <w:tcPr>
            <w:tcW w:w="1729" w:type="pct"/>
          </w:tcPr>
          <w:p w14:paraId="1A11CBDE" w14:textId="14ED1077" w:rsidR="0062798E" w:rsidRPr="006B7C36" w:rsidRDefault="0062798E" w:rsidP="00996C86">
            <w:r w:rsidRPr="006B7C36">
              <w:t xml:space="preserve">  </w:t>
            </w:r>
            <w:r>
              <w:rPr>
                <w:b/>
                <w:bCs/>
              </w:rPr>
              <w:t>16,00</w:t>
            </w:r>
            <w:r w:rsidRPr="006B7C36">
              <w:t xml:space="preserve"> </w:t>
            </w:r>
            <w:r w:rsidRPr="00054893">
              <w:rPr>
                <w:b/>
                <w:bCs/>
                <w:i/>
              </w:rPr>
              <w:t>euro</w:t>
            </w:r>
          </w:p>
        </w:tc>
        <w:tc>
          <w:tcPr>
            <w:tcW w:w="1641" w:type="pct"/>
          </w:tcPr>
          <w:p w14:paraId="5D12FC4E" w14:textId="5B92AFEE" w:rsidR="0062798E" w:rsidRDefault="0062798E" w:rsidP="00996C86">
            <w:r w:rsidRPr="006B7C36">
              <w:t xml:space="preserve">  </w:t>
            </w:r>
            <w:r w:rsidRPr="0062798E">
              <w:rPr>
                <w:b/>
                <w:bCs/>
              </w:rPr>
              <w:t>17.53</w:t>
            </w:r>
            <w:r>
              <w:t xml:space="preserve"> </w:t>
            </w:r>
            <w:r w:rsidRPr="00D5163C">
              <w:rPr>
                <w:b/>
                <w:bCs/>
                <w:iCs/>
              </w:rPr>
              <w:t>euro</w:t>
            </w:r>
          </w:p>
        </w:tc>
      </w:tr>
      <w:tr w:rsidR="0062798E" w:rsidRPr="00CA5C04" w14:paraId="43671BD1" w14:textId="77777777" w:rsidTr="0062798E">
        <w:trPr>
          <w:trHeight w:val="441"/>
        </w:trPr>
        <w:tc>
          <w:tcPr>
            <w:tcW w:w="466" w:type="pct"/>
          </w:tcPr>
          <w:p w14:paraId="354218F1" w14:textId="27781802" w:rsidR="0062798E" w:rsidRPr="006B7C36" w:rsidRDefault="0062798E" w:rsidP="00996C86">
            <w:pPr>
              <w:jc w:val="center"/>
            </w:pPr>
            <w:r>
              <w:t>2.6.2.</w:t>
            </w:r>
          </w:p>
        </w:tc>
        <w:tc>
          <w:tcPr>
            <w:tcW w:w="1163" w:type="pct"/>
          </w:tcPr>
          <w:p w14:paraId="43C39B62" w14:textId="77777777" w:rsidR="0062798E" w:rsidRPr="00FB0CE0" w:rsidRDefault="0062798E" w:rsidP="00996C86">
            <w:r w:rsidRPr="00FB0CE0">
              <w:rPr>
                <w:rFonts w:eastAsia="Arial Unicode MS"/>
              </w:rPr>
              <w:t>Reprezentācijas nolūkos izsniegto ielūgumu īpatsvars no kopējā biļešu skaita</w:t>
            </w:r>
          </w:p>
        </w:tc>
        <w:tc>
          <w:tcPr>
            <w:tcW w:w="1729" w:type="pct"/>
          </w:tcPr>
          <w:p w14:paraId="422CE388" w14:textId="70AD1C90" w:rsidR="0062798E" w:rsidRDefault="0062798E" w:rsidP="00996C8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V</w:t>
            </w:r>
            <w:r w:rsidRPr="00FB0CE0">
              <w:rPr>
                <w:rFonts w:eastAsia="Arial Unicode MS"/>
              </w:rPr>
              <w:t xml:space="preserve">idēji gadā ne vairāk kā </w:t>
            </w:r>
            <w:r>
              <w:rPr>
                <w:rFonts w:eastAsia="Arial Unicode MS"/>
              </w:rPr>
              <w:t>1</w:t>
            </w:r>
            <w:r w:rsidRPr="00B7552B">
              <w:rPr>
                <w:rFonts w:eastAsia="Arial Unicode MS"/>
                <w:b/>
                <w:bCs/>
              </w:rPr>
              <w:t>%</w:t>
            </w:r>
          </w:p>
        </w:tc>
        <w:tc>
          <w:tcPr>
            <w:tcW w:w="1641" w:type="pct"/>
          </w:tcPr>
          <w:p w14:paraId="58DA226A" w14:textId="73CB1E54" w:rsidR="0062798E" w:rsidRPr="006B7C36" w:rsidRDefault="0062798E" w:rsidP="00996C86">
            <w:r>
              <w:rPr>
                <w:rFonts w:eastAsia="Arial Unicode MS"/>
              </w:rPr>
              <w:t>V</w:t>
            </w:r>
            <w:r w:rsidRPr="00FB0CE0">
              <w:rPr>
                <w:rFonts w:eastAsia="Arial Unicode MS"/>
              </w:rPr>
              <w:t xml:space="preserve">idēji gadā </w:t>
            </w:r>
            <w:r w:rsidRPr="0018227C">
              <w:rPr>
                <w:rFonts w:eastAsia="Arial Unicode MS"/>
                <w:b/>
                <w:bCs/>
              </w:rPr>
              <w:t>2</w:t>
            </w:r>
            <w:r>
              <w:rPr>
                <w:rFonts w:eastAsia="Arial Unicode MS"/>
                <w:b/>
                <w:bCs/>
              </w:rPr>
              <w:t>,4</w:t>
            </w:r>
            <w:r w:rsidRPr="00FF1B0F">
              <w:rPr>
                <w:rFonts w:eastAsia="Arial Unicode MS"/>
                <w:b/>
                <w:bCs/>
              </w:rPr>
              <w:t xml:space="preserve"> %</w:t>
            </w:r>
          </w:p>
        </w:tc>
      </w:tr>
    </w:tbl>
    <w:p w14:paraId="1027B766" w14:textId="77777777" w:rsidR="006426DE" w:rsidRDefault="006426DE" w:rsidP="006426DE">
      <w:pPr>
        <w:rPr>
          <w:color w:val="000000"/>
        </w:rPr>
      </w:pPr>
    </w:p>
    <w:p w14:paraId="6587DD3C" w14:textId="77777777" w:rsidR="0059057C" w:rsidRDefault="0059057C" w:rsidP="006426DE">
      <w:pPr>
        <w:rPr>
          <w:color w:val="000000"/>
        </w:rPr>
      </w:pPr>
    </w:p>
    <w:p w14:paraId="15E4A684" w14:textId="12125D09" w:rsidR="006426DE" w:rsidRDefault="006426DE" w:rsidP="002E19C0">
      <w:r w:rsidRPr="006B7C36">
        <w:rPr>
          <w:color w:val="000000"/>
        </w:rPr>
        <w:t xml:space="preserve">7. Komentāri </w:t>
      </w:r>
      <w:r>
        <w:rPr>
          <w:color w:val="000000"/>
        </w:rPr>
        <w:t xml:space="preserve">(obligāti sniedzami gadījumā, ja faktiskie rezultatīvie rādītāji atšķiras no plānotajiem rādītājiem par 15 un vairāk %) </w:t>
      </w:r>
      <w:r w:rsidRPr="006B7C36">
        <w:rPr>
          <w:color w:val="000000"/>
        </w:rPr>
        <w:t xml:space="preserve">par </w:t>
      </w:r>
      <w:r>
        <w:rPr>
          <w:color w:val="000000"/>
        </w:rPr>
        <w:t>darbību un Pārvaldes uzdevumu izpildi (sasniegto rezultatīvo rādītāju atbilstība plānotajam, darbību veicinošie un kavējošie faktori, cita papildu informācija, kas attiecināma uz rezultatīvo rādītāju izpildi)</w:t>
      </w:r>
      <w:r w:rsidRPr="006B7C36">
        <w:rPr>
          <w:color w:val="000000"/>
        </w:rPr>
        <w:t>:</w:t>
      </w:r>
    </w:p>
    <w:p w14:paraId="00197C8D" w14:textId="77777777" w:rsidR="00B97F65" w:rsidRDefault="00CE420A" w:rsidP="002E19C0">
      <w:r>
        <w:t>2.2.1.</w:t>
      </w:r>
      <w:r w:rsidR="00FC6EBC">
        <w:rPr>
          <w:b/>
          <w:bCs/>
        </w:rPr>
        <w:t xml:space="preserve"> </w:t>
      </w:r>
      <w:r w:rsidR="00B97F65" w:rsidRPr="00B97F65">
        <w:t>Teātra darbības rezultātā vērojams būtisks izaugsmes pieaugums – apmeklējumu skaits palielinājies par 18%, kā arī pieaudzis skolu grupu apmeklējumu skaits.</w:t>
      </w:r>
    </w:p>
    <w:p w14:paraId="065E35C0" w14:textId="77777777" w:rsidR="002E559A" w:rsidRDefault="002E559A" w:rsidP="002E19C0"/>
    <w:p w14:paraId="1DEED39B" w14:textId="1F439E38" w:rsidR="00CE420A" w:rsidRPr="00CE420A" w:rsidRDefault="00CE420A" w:rsidP="002E19C0">
      <w:r>
        <w:t>2.2.2.</w:t>
      </w:r>
      <w:r w:rsidRPr="00CE420A">
        <w:t xml:space="preserve"> </w:t>
      </w:r>
      <w:r w:rsidRPr="00626FD3">
        <w:t>Biļetes par pazeminātām cenām</w:t>
      </w:r>
      <w:r>
        <w:t xml:space="preserve"> ir palielinājies par </w:t>
      </w:r>
      <w:r w:rsidRPr="00CE420A">
        <w:rPr>
          <w:b/>
          <w:bCs/>
        </w:rPr>
        <w:t>37%</w:t>
      </w:r>
      <w:r>
        <w:t xml:space="preserve"> </w:t>
      </w:r>
      <w:proofErr w:type="gramStart"/>
      <w:r>
        <w:t>(</w:t>
      </w:r>
      <w:proofErr w:type="gramEnd"/>
      <w:r w:rsidRPr="00CE420A">
        <w:t>10 976</w:t>
      </w:r>
      <w:r>
        <w:t xml:space="preserve"> </w:t>
      </w:r>
      <w:r w:rsidRPr="00626FD3">
        <w:t>apmeklētājiem</w:t>
      </w:r>
      <w:r>
        <w:t xml:space="preserve">, tajā skaitā Latvijas Goda ģimenes apliecības īpašniekiem piedāvātās atlaides - ne mazāk kā </w:t>
      </w:r>
      <w:r w:rsidRPr="00CE420A">
        <w:t xml:space="preserve">– 5 802 </w:t>
      </w:r>
      <w:r w:rsidR="009968DE" w:rsidRPr="00CE420A">
        <w:t>apmeklētājiem</w:t>
      </w:r>
      <w:r w:rsidR="009968DE">
        <w:t>, pieaudzis skolu grupu skaits.</w:t>
      </w:r>
    </w:p>
    <w:p w14:paraId="7FD4CE25" w14:textId="29F7E423" w:rsidR="006426DE" w:rsidRDefault="00113462" w:rsidP="002E19C0">
      <w:r>
        <w:t xml:space="preserve">2.3.2. </w:t>
      </w:r>
      <w:r w:rsidRPr="006B7C36">
        <w:rPr>
          <w:color w:val="000000" w:themeColor="text1"/>
        </w:rPr>
        <w:t>Jauniešu un bērnu auditorijai vecumā līdz 17 gadiem domāto izrāžu apmeklējumu skaits gadā</w:t>
      </w:r>
      <w:r>
        <w:t xml:space="preserve"> ir pieaudzis par </w:t>
      </w:r>
      <w:r w:rsidR="00742C3B" w:rsidRPr="006E7763">
        <w:rPr>
          <w:b/>
          <w:bCs/>
        </w:rPr>
        <w:t>17%</w:t>
      </w:r>
      <w:r w:rsidR="009968DE">
        <w:t>, arī sakarā ar skolu grupu skaitu.</w:t>
      </w:r>
    </w:p>
    <w:p w14:paraId="14C8299D" w14:textId="77777777" w:rsidR="002E559A" w:rsidRDefault="002E559A" w:rsidP="002E19C0"/>
    <w:p w14:paraId="59C8265F" w14:textId="224B3CD3" w:rsidR="002E559A" w:rsidRDefault="00742C3B" w:rsidP="002E19C0">
      <w:pPr>
        <w:widowControl/>
        <w:adjustRightInd/>
        <w:spacing w:after="160" w:line="259" w:lineRule="auto"/>
        <w:textAlignment w:val="auto"/>
        <w:rPr>
          <w:bCs/>
          <w:szCs w:val="22"/>
        </w:rPr>
      </w:pPr>
      <w:r>
        <w:rPr>
          <w:bCs/>
          <w:szCs w:val="22"/>
        </w:rPr>
        <w:t xml:space="preserve">2.4.1. Izrāžu skaits ārvalstīs ir palielinājies par </w:t>
      </w:r>
      <w:r w:rsidRPr="00742C3B">
        <w:rPr>
          <w:b/>
          <w:szCs w:val="22"/>
        </w:rPr>
        <w:t>150%</w:t>
      </w:r>
      <w:r w:rsidR="00DF6412">
        <w:rPr>
          <w:bCs/>
          <w:szCs w:val="22"/>
        </w:rPr>
        <w:t xml:space="preserve">, jo pēc “Sibīrijas Haiku” panākumiem Spēlmaņu naktī un vairāku balvu saņemšanas par izrādi interesi izrādījuši ārvalstu festivāli, ko </w:t>
      </w:r>
      <w:r w:rsidR="002E19C0">
        <w:t>Latvijas Leļļu teātris</w:t>
      </w:r>
      <w:r w:rsidR="00DF6412">
        <w:rPr>
          <w:bCs/>
          <w:szCs w:val="22"/>
        </w:rPr>
        <w:t xml:space="preserve"> mērķtiecīgi izmantojis, lai veicinātu kvalitatīvas leļļu teātra mākslas eksportu un palielinātu savu atpazīstamību starptautiskajā vidē.</w:t>
      </w:r>
    </w:p>
    <w:p w14:paraId="7087EB78" w14:textId="11D5DCA5" w:rsidR="00113462" w:rsidRPr="002E559A" w:rsidRDefault="00113462" w:rsidP="002E19C0">
      <w:pPr>
        <w:widowControl/>
        <w:adjustRightInd/>
        <w:spacing w:after="160" w:line="259" w:lineRule="auto"/>
        <w:textAlignment w:val="auto"/>
        <w:rPr>
          <w:bCs/>
          <w:szCs w:val="22"/>
        </w:rPr>
      </w:pPr>
      <w:r w:rsidRPr="00113462">
        <w:rPr>
          <w:bCs/>
          <w:szCs w:val="22"/>
        </w:rPr>
        <w:t xml:space="preserve">2.4.2. </w:t>
      </w:r>
      <w:r>
        <w:rPr>
          <w:bCs/>
          <w:szCs w:val="22"/>
        </w:rPr>
        <w:t>starptautiskās sadarbības projekti</w:t>
      </w:r>
      <w:r w:rsidR="00EB3F3F">
        <w:rPr>
          <w:bCs/>
          <w:szCs w:val="22"/>
        </w:rPr>
        <w:t xml:space="preserve"> </w:t>
      </w:r>
      <w:r>
        <w:rPr>
          <w:bCs/>
          <w:szCs w:val="22"/>
        </w:rPr>
        <w:t xml:space="preserve">(kopražojumi, dalība starptautiskajās platformās, meistarklases u.c.) pieaudzis par </w:t>
      </w:r>
      <w:r w:rsidRPr="00113462">
        <w:rPr>
          <w:b/>
          <w:szCs w:val="22"/>
        </w:rPr>
        <w:t>100%</w:t>
      </w:r>
      <w:r w:rsidR="00DF6412">
        <w:rPr>
          <w:b/>
          <w:szCs w:val="22"/>
        </w:rPr>
        <w:t xml:space="preserve">. </w:t>
      </w:r>
      <w:r w:rsidR="00DF6412" w:rsidRPr="00DF6412">
        <w:rPr>
          <w:bCs/>
          <w:szCs w:val="22"/>
        </w:rPr>
        <w:t xml:space="preserve">Starptautiskās sadarbība un tās palielināšana </w:t>
      </w:r>
      <w:proofErr w:type="gramStart"/>
      <w:r w:rsidR="00DF6412" w:rsidRPr="00DF6412">
        <w:rPr>
          <w:bCs/>
          <w:szCs w:val="22"/>
        </w:rPr>
        <w:t>ir būtisks</w:t>
      </w:r>
      <w:proofErr w:type="gramEnd"/>
      <w:r w:rsidR="00DF6412" w:rsidRPr="00DF6412">
        <w:rPr>
          <w:bCs/>
          <w:szCs w:val="22"/>
        </w:rPr>
        <w:t xml:space="preserve"> </w:t>
      </w:r>
      <w:r w:rsidR="002E19C0" w:rsidRPr="002E19C0">
        <w:rPr>
          <w:bCs/>
          <w:szCs w:val="22"/>
        </w:rPr>
        <w:t>Latvijas Leļļu teātr</w:t>
      </w:r>
      <w:r w:rsidR="002E19C0">
        <w:rPr>
          <w:bCs/>
          <w:szCs w:val="22"/>
        </w:rPr>
        <w:t>a</w:t>
      </w:r>
      <w:r w:rsidR="00DF6412" w:rsidRPr="00DF6412">
        <w:rPr>
          <w:bCs/>
          <w:szCs w:val="22"/>
        </w:rPr>
        <w:t xml:space="preserve"> stratēģiskais mērķis, lai kopā ar citiem Baltijas leļļu teātriem nostiprinātu </w:t>
      </w:r>
      <w:r w:rsidR="00DF6412" w:rsidRPr="00DF6412">
        <w:rPr>
          <w:bCs/>
          <w:szCs w:val="22"/>
        </w:rPr>
        <w:lastRenderedPageBreak/>
        <w:t xml:space="preserve">savas pozīcijas Eiropas vizuālā teātra laukā. Lai šo mērķi sasniegtu, ir palielināts starptautisko projektu skaits, kas stiprina </w:t>
      </w:r>
      <w:r w:rsidR="002E19C0" w:rsidRPr="002E19C0">
        <w:rPr>
          <w:bCs/>
          <w:szCs w:val="22"/>
        </w:rPr>
        <w:t>Latvijas Leļļu teātr</w:t>
      </w:r>
      <w:r w:rsidR="002E19C0">
        <w:rPr>
          <w:bCs/>
          <w:szCs w:val="22"/>
        </w:rPr>
        <w:t>a</w:t>
      </w:r>
      <w:r w:rsidR="00DF6412" w:rsidRPr="00DF6412">
        <w:rPr>
          <w:bCs/>
          <w:szCs w:val="22"/>
        </w:rPr>
        <w:t xml:space="preserve"> pozīciju Eiropas leļļu teātra vid</w:t>
      </w:r>
      <w:r w:rsidR="00DF6412">
        <w:rPr>
          <w:bCs/>
          <w:szCs w:val="22"/>
        </w:rPr>
        <w:t>ē.</w:t>
      </w:r>
    </w:p>
    <w:p w14:paraId="5E15C122" w14:textId="77777777" w:rsidR="00BB2C5F" w:rsidRDefault="006E7763" w:rsidP="002E19C0">
      <w:pPr>
        <w:widowControl/>
        <w:adjustRightInd/>
        <w:spacing w:after="160" w:line="259" w:lineRule="auto"/>
        <w:textAlignment w:val="auto"/>
        <w:rPr>
          <w:bCs/>
          <w:szCs w:val="22"/>
        </w:rPr>
      </w:pPr>
      <w:r w:rsidRPr="006E7763">
        <w:rPr>
          <w:bCs/>
          <w:szCs w:val="22"/>
        </w:rPr>
        <w:t xml:space="preserve">2.5.1. </w:t>
      </w:r>
      <w:r w:rsidR="00BB2C5F" w:rsidRPr="00BB2C5F">
        <w:rPr>
          <w:bCs/>
          <w:szCs w:val="22"/>
        </w:rPr>
        <w:t xml:space="preserve">Pašu ieņēmumi ir palielinājušies par </w:t>
      </w:r>
      <w:r w:rsidR="00BB2C5F" w:rsidRPr="00BB2C5F">
        <w:rPr>
          <w:b/>
          <w:szCs w:val="22"/>
        </w:rPr>
        <w:t>21%,</w:t>
      </w:r>
      <w:r w:rsidR="00BB2C5F" w:rsidRPr="00BB2C5F">
        <w:rPr>
          <w:bCs/>
          <w:szCs w:val="22"/>
        </w:rPr>
        <w:t xml:space="preserve"> jo pieaudzis skatītāju skaits, palielinājies izrāžu skaits un paaugstinājusies biļešu cena.</w:t>
      </w:r>
    </w:p>
    <w:p w14:paraId="02325ADE" w14:textId="108173A3" w:rsidR="006E7763" w:rsidRPr="00913456" w:rsidRDefault="006E7763" w:rsidP="002E19C0">
      <w:pPr>
        <w:widowControl/>
        <w:adjustRightInd/>
        <w:spacing w:after="160" w:line="259" w:lineRule="auto"/>
        <w:textAlignment w:val="auto"/>
        <w:rPr>
          <w:bCs/>
          <w:szCs w:val="22"/>
        </w:rPr>
      </w:pPr>
      <w:r w:rsidRPr="006E7763">
        <w:rPr>
          <w:bCs/>
          <w:szCs w:val="22"/>
        </w:rPr>
        <w:t xml:space="preserve">Biļešu ieņēmumi </w:t>
      </w:r>
      <w:r w:rsidR="00242EAB" w:rsidRPr="006E7763">
        <w:rPr>
          <w:bCs/>
          <w:szCs w:val="22"/>
        </w:rPr>
        <w:t>palielināju</w:t>
      </w:r>
      <w:r w:rsidR="00242EAB">
        <w:rPr>
          <w:bCs/>
          <w:szCs w:val="22"/>
        </w:rPr>
        <w:t>š</w:t>
      </w:r>
      <w:r w:rsidR="00242EAB" w:rsidRPr="006E7763">
        <w:rPr>
          <w:bCs/>
          <w:szCs w:val="22"/>
        </w:rPr>
        <w:t>ies</w:t>
      </w:r>
      <w:r w:rsidRPr="006E7763">
        <w:rPr>
          <w:bCs/>
          <w:szCs w:val="22"/>
        </w:rPr>
        <w:t xml:space="preserve"> par</w:t>
      </w:r>
      <w:r>
        <w:rPr>
          <w:b/>
          <w:szCs w:val="22"/>
        </w:rPr>
        <w:t xml:space="preserve"> 22</w:t>
      </w:r>
      <w:r w:rsidRPr="00913456">
        <w:rPr>
          <w:bCs/>
          <w:szCs w:val="22"/>
        </w:rPr>
        <w:t>%</w:t>
      </w:r>
      <w:r w:rsidR="00913456" w:rsidRPr="00913456">
        <w:rPr>
          <w:bCs/>
          <w:szCs w:val="22"/>
        </w:rPr>
        <w:t>, jo nospēlētas par</w:t>
      </w:r>
      <w:r w:rsidR="008348BF">
        <w:rPr>
          <w:bCs/>
          <w:szCs w:val="22"/>
        </w:rPr>
        <w:t xml:space="preserve"> </w:t>
      </w:r>
      <w:r w:rsidR="00913456" w:rsidRPr="00913456">
        <w:rPr>
          <w:bCs/>
          <w:szCs w:val="22"/>
        </w:rPr>
        <w:t>4% izrāžu vairāk nekā ieplānots.</w:t>
      </w:r>
    </w:p>
    <w:p w14:paraId="15D2E2C9" w14:textId="3BF493D5" w:rsidR="00F91FFF" w:rsidRDefault="00EB3F3F" w:rsidP="002E19C0">
      <w:pPr>
        <w:widowControl/>
        <w:adjustRightInd/>
        <w:spacing w:after="160" w:line="259" w:lineRule="auto"/>
        <w:textAlignment w:val="auto"/>
        <w:rPr>
          <w:rFonts w:eastAsia="Times New Roman"/>
          <w:sz w:val="24"/>
        </w:rPr>
      </w:pPr>
      <w:r w:rsidRPr="00EB3F3F">
        <w:rPr>
          <w:bCs/>
          <w:szCs w:val="22"/>
        </w:rPr>
        <w:t>2.6.2.</w:t>
      </w:r>
      <w:r>
        <w:rPr>
          <w:b/>
          <w:szCs w:val="22"/>
        </w:rPr>
        <w:t xml:space="preserve"> </w:t>
      </w:r>
      <w:r w:rsidRPr="00FB0CE0">
        <w:rPr>
          <w:rFonts w:eastAsia="Arial Unicode MS"/>
        </w:rPr>
        <w:t>Reprezentācijas nolūkos izsniegto ielūgumu īpatsvars no kopējā biļešu skait</w:t>
      </w:r>
      <w:r>
        <w:rPr>
          <w:rFonts w:eastAsia="Arial Unicode MS"/>
        </w:rPr>
        <w:t xml:space="preserve">s ir palielinājies pret plānoto par </w:t>
      </w:r>
      <w:r w:rsidRPr="00EB3F3F">
        <w:rPr>
          <w:rFonts w:eastAsia="Arial Unicode MS"/>
          <w:b/>
          <w:bCs/>
        </w:rPr>
        <w:t>140%</w:t>
      </w:r>
      <w:r w:rsidR="00913456">
        <w:rPr>
          <w:rFonts w:eastAsia="Arial Unicode MS"/>
          <w:b/>
          <w:bCs/>
        </w:rPr>
        <w:t xml:space="preserve">. </w:t>
      </w:r>
      <w:r w:rsidR="00016A3F" w:rsidRPr="00016A3F">
        <w:rPr>
          <w:rFonts w:eastAsia="Arial Unicode MS"/>
        </w:rPr>
        <w:t xml:space="preserve">Reprezentācijas nolūkos izsniegto ielūgumu īpatsvars no kopējā biļešu skaita ir palielinājies par 140 % salīdzinājumā ar plānoto. Tas saistīts ar to, ka </w:t>
      </w:r>
      <w:r w:rsidR="002E19C0">
        <w:rPr>
          <w:rFonts w:eastAsia="Arial Unicode MS"/>
        </w:rPr>
        <w:t>Latvijas Kultūras akadēmijā</w:t>
      </w:r>
      <w:r w:rsidR="00016A3F" w:rsidRPr="00016A3F">
        <w:rPr>
          <w:rFonts w:eastAsia="Arial Unicode MS"/>
        </w:rPr>
        <w:t xml:space="preserve"> ir uzņemts dramatiskā teātra aktieru kurss, kura studiju programmā ietverta arī leļļu teātra specifikas apguve, un, lai nodrošinātu studentiem iespēju iepazīties ar </w:t>
      </w:r>
      <w:r w:rsidR="002E19C0">
        <w:rPr>
          <w:rFonts w:eastAsia="Arial Unicode MS"/>
        </w:rPr>
        <w:t xml:space="preserve">leļļu teātra </w:t>
      </w:r>
      <w:r w:rsidR="00016A3F" w:rsidRPr="00016A3F">
        <w:rPr>
          <w:rFonts w:eastAsia="Arial Unicode MS"/>
        </w:rPr>
        <w:t>iestudējumiem, tiem tiek izsniegti ielūgumi.</w:t>
      </w:r>
    </w:p>
    <w:sectPr w:rsidR="00F91FFF" w:rsidSect="000C6369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58D"/>
    <w:multiLevelType w:val="hybridMultilevel"/>
    <w:tmpl w:val="27A64EA4"/>
    <w:lvl w:ilvl="0" w:tplc="556ED22A">
      <w:start w:val="8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2541"/>
    <w:multiLevelType w:val="hybridMultilevel"/>
    <w:tmpl w:val="A84626B8"/>
    <w:lvl w:ilvl="0" w:tplc="E2627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066864">
    <w:abstractNumId w:val="1"/>
  </w:num>
  <w:num w:numId="2" w16cid:durableId="192409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69"/>
    <w:rsid w:val="00004D55"/>
    <w:rsid w:val="000146FE"/>
    <w:rsid w:val="00016A3F"/>
    <w:rsid w:val="00046609"/>
    <w:rsid w:val="00054893"/>
    <w:rsid w:val="00071B3A"/>
    <w:rsid w:val="0007538C"/>
    <w:rsid w:val="00080594"/>
    <w:rsid w:val="000C15C5"/>
    <w:rsid w:val="000C6369"/>
    <w:rsid w:val="000F4272"/>
    <w:rsid w:val="00103AA2"/>
    <w:rsid w:val="00113462"/>
    <w:rsid w:val="00114BA3"/>
    <w:rsid w:val="00122A0A"/>
    <w:rsid w:val="00135F93"/>
    <w:rsid w:val="00180681"/>
    <w:rsid w:val="0018227C"/>
    <w:rsid w:val="00187270"/>
    <w:rsid w:val="001C57A0"/>
    <w:rsid w:val="001D1385"/>
    <w:rsid w:val="001D478C"/>
    <w:rsid w:val="00210A46"/>
    <w:rsid w:val="00242EAB"/>
    <w:rsid w:val="00247108"/>
    <w:rsid w:val="00255ED4"/>
    <w:rsid w:val="00286963"/>
    <w:rsid w:val="002B38F0"/>
    <w:rsid w:val="002B51A3"/>
    <w:rsid w:val="002C24BF"/>
    <w:rsid w:val="002D15A4"/>
    <w:rsid w:val="002E19C0"/>
    <w:rsid w:val="002E559A"/>
    <w:rsid w:val="002F3D3D"/>
    <w:rsid w:val="00306295"/>
    <w:rsid w:val="003128E0"/>
    <w:rsid w:val="003150E3"/>
    <w:rsid w:val="0032315B"/>
    <w:rsid w:val="00350FCD"/>
    <w:rsid w:val="00375009"/>
    <w:rsid w:val="00390C3E"/>
    <w:rsid w:val="003943FB"/>
    <w:rsid w:val="003C3737"/>
    <w:rsid w:val="003C7BF5"/>
    <w:rsid w:val="003D08BA"/>
    <w:rsid w:val="003D1A07"/>
    <w:rsid w:val="00401D1A"/>
    <w:rsid w:val="0040419E"/>
    <w:rsid w:val="00433E4B"/>
    <w:rsid w:val="00437CAD"/>
    <w:rsid w:val="00445CF6"/>
    <w:rsid w:val="00462293"/>
    <w:rsid w:val="00481547"/>
    <w:rsid w:val="004C7A53"/>
    <w:rsid w:val="00506E05"/>
    <w:rsid w:val="00523C6F"/>
    <w:rsid w:val="00553911"/>
    <w:rsid w:val="0059057C"/>
    <w:rsid w:val="005A62BC"/>
    <w:rsid w:val="005C1390"/>
    <w:rsid w:val="00626D6E"/>
    <w:rsid w:val="0062798E"/>
    <w:rsid w:val="006426DE"/>
    <w:rsid w:val="00647717"/>
    <w:rsid w:val="00664F27"/>
    <w:rsid w:val="006A1199"/>
    <w:rsid w:val="006E7763"/>
    <w:rsid w:val="00702E3B"/>
    <w:rsid w:val="00717DD0"/>
    <w:rsid w:val="00742C3B"/>
    <w:rsid w:val="00765D5D"/>
    <w:rsid w:val="00785D8C"/>
    <w:rsid w:val="0081299F"/>
    <w:rsid w:val="008168D4"/>
    <w:rsid w:val="00820557"/>
    <w:rsid w:val="00830EF7"/>
    <w:rsid w:val="008348BF"/>
    <w:rsid w:val="00843D27"/>
    <w:rsid w:val="008C650C"/>
    <w:rsid w:val="008D6116"/>
    <w:rsid w:val="008E2467"/>
    <w:rsid w:val="00913456"/>
    <w:rsid w:val="0092327D"/>
    <w:rsid w:val="009319E0"/>
    <w:rsid w:val="009968DE"/>
    <w:rsid w:val="009C5257"/>
    <w:rsid w:val="00A01A26"/>
    <w:rsid w:val="00A4662E"/>
    <w:rsid w:val="00A51FBD"/>
    <w:rsid w:val="00A8587D"/>
    <w:rsid w:val="00B05234"/>
    <w:rsid w:val="00B132D9"/>
    <w:rsid w:val="00B143A4"/>
    <w:rsid w:val="00B25BEF"/>
    <w:rsid w:val="00B45D71"/>
    <w:rsid w:val="00B46F10"/>
    <w:rsid w:val="00B51937"/>
    <w:rsid w:val="00B521D2"/>
    <w:rsid w:val="00B7552B"/>
    <w:rsid w:val="00B83002"/>
    <w:rsid w:val="00B87C13"/>
    <w:rsid w:val="00B97F65"/>
    <w:rsid w:val="00BA1FCE"/>
    <w:rsid w:val="00BB2C5F"/>
    <w:rsid w:val="00BC2C27"/>
    <w:rsid w:val="00BF5BCF"/>
    <w:rsid w:val="00C0392E"/>
    <w:rsid w:val="00C70599"/>
    <w:rsid w:val="00C72CF7"/>
    <w:rsid w:val="00CE420A"/>
    <w:rsid w:val="00CE5B56"/>
    <w:rsid w:val="00CF5BE7"/>
    <w:rsid w:val="00D055E9"/>
    <w:rsid w:val="00D326D1"/>
    <w:rsid w:val="00D32E3E"/>
    <w:rsid w:val="00D451D0"/>
    <w:rsid w:val="00D4758D"/>
    <w:rsid w:val="00D5163C"/>
    <w:rsid w:val="00DD0009"/>
    <w:rsid w:val="00DF6412"/>
    <w:rsid w:val="00E24D32"/>
    <w:rsid w:val="00E25669"/>
    <w:rsid w:val="00EA6FAB"/>
    <w:rsid w:val="00EB3F3F"/>
    <w:rsid w:val="00EC7B2D"/>
    <w:rsid w:val="00ED010C"/>
    <w:rsid w:val="00F02971"/>
    <w:rsid w:val="00F271D0"/>
    <w:rsid w:val="00F31871"/>
    <w:rsid w:val="00F3621F"/>
    <w:rsid w:val="00F44D85"/>
    <w:rsid w:val="00F471B3"/>
    <w:rsid w:val="00F508EB"/>
    <w:rsid w:val="00F8592E"/>
    <w:rsid w:val="00F86E02"/>
    <w:rsid w:val="00F91FFF"/>
    <w:rsid w:val="00F970AC"/>
    <w:rsid w:val="00FB378D"/>
    <w:rsid w:val="00FB6172"/>
    <w:rsid w:val="00FC6EBC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55F7"/>
  <w15:chartTrackingRefBased/>
  <w15:docId w15:val="{C467DB99-B986-40D0-ADDE-90C6D0C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6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0AC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0AC"/>
    <w:rPr>
      <w:rFonts w:ascii="Times New Roman" w:eastAsia="Calibri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5624</Words>
  <Characters>3207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Kultūras ministrija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Rutkēviča</dc:creator>
  <cp:keywords/>
  <dc:description/>
  <cp:lastModifiedBy>Rūta Petrauska</cp:lastModifiedBy>
  <cp:revision>2</cp:revision>
  <cp:lastPrinted>2026-01-14T15:04:00Z</cp:lastPrinted>
  <dcterms:created xsi:type="dcterms:W3CDTF">2026-04-27T11:44:00Z</dcterms:created>
  <dcterms:modified xsi:type="dcterms:W3CDTF">2026-04-27T11:44:00Z</dcterms:modified>
</cp:coreProperties>
</file>